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76" w:lineRule="auto"/>
              <w:jc w:val="center"/>
            </w:pPr>
            <w:r>
              <w:rPr>
                <w:rFonts w:ascii="Times New Roman" w:hAnsi="Times New Roman"/>
                <w:sz w:val="26"/>
              </w:rPr>
              <w:t>ỦY BAN NHÂN DÂN TỈNH...</w:t>
            </w:r>
          </w:p>
          <w:p>
            <w:pPr>
              <w:spacing w:before="0" w:after="0" w:line="276" w:lineRule="auto"/>
              <w:jc w:val="center"/>
            </w:pPr>
            <w:r>
              <w:rPr>
                <w:rFonts w:ascii="Times New Roman" w:hAnsi="Times New Roman"/>
                <w:b/>
                <w:sz w:val="26"/>
              </w:rPr>
              <w:t>BAN CHỈ HUY...</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.../CĐ-...</w:t>
            </w:r>
          </w:p>
        </w:tc>
        <w:tc>
          <w:tcPr>
            <w:tcW w:type="dxa" w:w="5669"/>
            <w:tcMar>
              <w:top w:w="0" w:type="dxa"/>
              <w:bottom w:w="0" w:type="dxa"/>
              <w:left w:w="0" w:type="dxa"/>
              <w:right w:w="0" w:type="dxa"/>
            </w:tcMar>
          </w:tcPr>
          <w:p>
            <w:pPr>
              <w:spacing w:before="0" w:after="0"/>
              <w:jc w:val="center"/>
            </w:pPr>
            <w:r>
              <w:rPr>
                <w:rFonts w:ascii="Times New Roman" w:hAnsi="Times New Roman"/>
                <w:b/>
                <w:sz w:val="25"/>
              </w:rPr>
              <w:t>CỘNG HÒA XÃ HỘI CHỦ NGHĨA VIỆT NAM</w:t>
            </w:r>
          </w:p>
          <w:p>
            <w:pPr>
              <w:spacing w:before="0" w:after="40"/>
              <w:jc w:val="center"/>
            </w:pPr>
            <w:r>
              <w:rPr>
                <w:rFonts w:ascii="Times New Roman" w:hAnsi="Times New Roman"/>
                <w:b/>
                <w:sz w:val="27"/>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8"/>
              </w:rPr>
              <w:t>..., ngày ... tháng ... năm 20...</w:t>
            </w:r>
          </w:p>
        </w:tc>
      </w:tr>
    </w:tbl>
    <w:p>
      <w:pPr>
        <w:spacing w:before="0" w:after="120"/>
      </w:pPr>
    </w:p>
    <w:p>
      <w:pPr>
        <w:spacing w:before="160" w:after="40"/>
        <w:jc w:val="center"/>
      </w:pPr>
      <w:r>
        <w:rPr>
          <w:rFonts w:ascii="Times New Roman" w:hAnsi="Times New Roman"/>
          <w:b/>
          <w:sz w:val="28"/>
        </w:rPr>
        <w:t>CÔNG ĐIỆN</w:t>
      </w:r>
    </w:p>
    <w:p>
      <w:pPr>
        <w:spacing w:before="0" w:after="160"/>
        <w:jc w:val="center"/>
      </w:pPr>
      <w:r>
        <w:rPr>
          <w:rFonts w:ascii="Times New Roman" w:hAnsi="Times New Roman"/>
          <w:b/>
          <w:sz w:val="27"/>
        </w:rPr>
        <w:t>Về việc chủ động ứng phó với diễn biến bão lũ và thiên tai bất thường</w:t>
      </w:r>
    </w:p>
    <w:p>
      <w:pPr>
        <w:spacing w:before="80" w:after="160"/>
        <w:jc w:val="center"/>
      </w:pPr>
      <w:r>
        <w:rPr>
          <w:rFonts w:ascii="Times New Roman" w:hAnsi="Times New Roman"/>
          <w:b/>
          <w:sz w:val="27"/>
        </w:rPr>
        <w:t>CHỦ TỊCH ỦY BAN NHÂN DÂN TỈNH - TRƯỞNG BAN ĐIỆN:</w:t>
      </w:r>
    </w:p>
    <w:p>
      <w:pPr>
        <w:spacing w:before="0" w:after="80" w:line="324" w:lineRule="auto"/>
        <w:ind w:firstLine="720"/>
        <w:jc w:val="both"/>
      </w:pPr>
      <w:r>
        <w:rPr>
          <w:rFonts w:ascii="Times New Roman" w:hAnsi="Times New Roman"/>
          <w:b/>
          <w:sz w:val="27"/>
        </w:rPr>
        <w:t>- Chủ tịch Ủy ban nhân dân các xã, phường, đặc khu;</w:t>
      </w:r>
    </w:p>
    <w:p>
      <w:pPr>
        <w:spacing w:before="0" w:after="80" w:line="324" w:lineRule="auto"/>
        <w:ind w:firstLine="720"/>
        <w:jc w:val="both"/>
      </w:pPr>
      <w:r>
        <w:rPr>
          <w:rFonts w:ascii="Times New Roman" w:hAnsi="Times New Roman"/>
          <w:b/>
          <w:sz w:val="27"/>
        </w:rPr>
        <w:t>- Giám đốc các Sở, Thủ trưởng các ban, ngành đoàn thể tỉnh.</w:t>
      </w:r>
    </w:p>
    <w:p>
      <w:pPr>
        <w:spacing w:before="0" w:after="80" w:line="324" w:lineRule="auto"/>
        <w:ind w:firstLine="720"/>
        <w:jc w:val="both"/>
      </w:pPr>
      <w:r>
        <w:rPr>
          <w:rFonts w:ascii="Times New Roman" w:hAnsi="Times New Roman"/>
          <w:sz w:val="27"/>
        </w:rPr>
        <w:t>Theo dự báo của Trung tâm Khí tượng Thủy văn Quốc gia, trong những ngày tới có khả năng xuất hiện mưa lớn kéo dài diện rộng, nguy cơ xảy ra lũ quét và sạt lở đất rất cao.</w:t>
      </w:r>
    </w:p>
    <w:p>
      <w:pPr>
        <w:spacing w:before="0" w:after="80" w:line="324" w:lineRule="auto"/>
        <w:ind w:firstLine="720"/>
        <w:jc w:val="both"/>
      </w:pPr>
      <w:r>
        <w:rPr>
          <w:rFonts w:ascii="Times New Roman" w:hAnsi="Times New Roman"/>
          <w:sz w:val="27"/>
        </w:rPr>
        <w:t>Để chủ động phòng ngừa, ứng phó kịp thời và hiệu quả, giảm thiểu thấp nhất thiệt hại về người và tài sản, Chủ tịch Ủy ban nhân dân tỉnh yêu cầu:</w:t>
      </w:r>
    </w:p>
    <w:p>
      <w:pPr>
        <w:spacing w:before="0" w:after="80" w:line="324" w:lineRule="auto"/>
        <w:ind w:firstLine="720"/>
        <w:jc w:val="both"/>
      </w:pPr>
      <w:r>
        <w:rPr>
          <w:rFonts w:ascii="Times New Roman" w:hAnsi="Times New Roman"/>
          <w:sz w:val="27"/>
        </w:rPr>
        <w:t>1. Ủy ban nhân dân các địa phương đình hoãn các cuộc họp chưa thật sự cấp bách để tập trung chỉ đạo công tác phòng, chống thiên tai; tổ chức kiểm tra, rà soát các điểm xung yếu, sẵn sàng phương án sơ tán người dân đến nơi an toàn.</w:t>
      </w:r>
    </w:p>
    <w:p>
      <w:pPr>
        <w:spacing w:before="0" w:after="80" w:line="324" w:lineRule="auto"/>
        <w:ind w:firstLine="720"/>
        <w:jc w:val="both"/>
      </w:pPr>
      <w:r>
        <w:rPr>
          <w:rFonts w:ascii="Times New Roman" w:hAnsi="Times New Roman"/>
          <w:sz w:val="27"/>
        </w:rPr>
        <w:t>2. Sở Nông nghiệp và Phát triển nông thôn, Sở Giao thông vận tải, Sở Khoa học và Công nghệ và các lực lượng vũ trang triển khai ngay phương án ứng trực 24/24 giờ, chuẩn bị đầy đủ lực lượng, phương tiện cứu hộ, cứu nạn.</w:t>
      </w:r>
    </w:p>
    <w:p>
      <w:pPr>
        <w:spacing w:before="0" w:after="80" w:line="324" w:lineRule="auto"/>
        <w:ind w:firstLine="720"/>
        <w:jc w:val="both"/>
      </w:pPr>
      <w:r>
        <w:rPr>
          <w:rFonts w:ascii="Times New Roman" w:hAnsi="Times New Roman"/>
          <w:sz w:val="27"/>
        </w:rPr>
        <w:t>3. Yêu cầu các đơn vị, địa phương nghiêm túc triển khai thực hiện và thường xuyên báo cáo về Ban Chỉ huy phòng chống thiên tai tỉnh để tổng hợp, theo dõi chỉ đạo./.</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252"/>
        <w:gridCol w:w="5102"/>
      </w:tblGrid>
      <w:tr>
        <w:tc>
          <w:tcPr>
            <w:tcW w:type="dxa" w:w="4252"/>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64" w:lineRule="auto"/>
              <w:ind w:left="113"/>
            </w:pPr>
            <w:r>
              <w:rPr>
                <w:rFonts w:ascii="Times New Roman" w:hAnsi="Times New Roman"/>
                <w:sz w:val="22"/>
              </w:rPr>
              <w:t>- Như trên;</w:t>
            </w:r>
          </w:p>
          <w:p>
            <w:pPr>
              <w:spacing w:before="0" w:after="20" w:line="264" w:lineRule="auto"/>
              <w:ind w:left="113"/>
            </w:pPr>
            <w:r>
              <w:rPr>
                <w:rFonts w:ascii="Times New Roman" w:hAnsi="Times New Roman"/>
                <w:sz w:val="22"/>
              </w:rPr>
              <w:t>- Văn phòng Chính phủ (để b/c);</w:t>
            </w:r>
          </w:p>
          <w:p>
            <w:pPr>
              <w:spacing w:before="0" w:after="20" w:line="264" w:lineRule="auto"/>
              <w:ind w:left="113"/>
            </w:pPr>
            <w:r>
              <w:rPr>
                <w:rFonts w:ascii="Times New Roman" w:hAnsi="Times New Roman"/>
                <w:sz w:val="22"/>
              </w:rPr>
              <w:t>- Bộ Nông nghiệp và PTNT (để b/c);</w:t>
            </w:r>
          </w:p>
          <w:p>
            <w:pPr>
              <w:spacing w:before="0" w:after="20" w:line="264" w:lineRule="auto"/>
              <w:ind w:left="113"/>
            </w:pPr>
            <w:r>
              <w:rPr>
                <w:rFonts w:ascii="Times New Roman" w:hAnsi="Times New Roman"/>
                <w:sz w:val="22"/>
              </w:rPr>
              <w:t>- Thường trực Tỉnh ủy (để b/c);</w:t>
            </w:r>
          </w:p>
          <w:p>
            <w:pPr>
              <w:spacing w:before="0" w:after="20" w:line="264" w:lineRule="auto"/>
              <w:ind w:left="113"/>
            </w:pPr>
            <w:r>
              <w:rPr>
                <w:rFonts w:ascii="Times New Roman" w:hAnsi="Times New Roman"/>
                <w:sz w:val="22"/>
              </w:rPr>
              <w:t>- Lưu: VT, PCTT.</w:t>
            </w:r>
          </w:p>
        </w:tc>
        <w:tc>
          <w:tcPr>
            <w:tcW w:type="dxa" w:w="5102"/>
            <w:tcMar>
              <w:top w:w="0" w:type="dxa"/>
              <w:bottom w:w="0" w:type="dxa"/>
              <w:left w:w="113" w:type="dxa"/>
              <w:right w:w="0" w:type="dxa"/>
            </w:tcMar>
          </w:tcPr>
          <w:p>
            <w:pPr>
              <w:spacing w:before="0" w:after="20"/>
              <w:jc w:val="center"/>
            </w:pPr>
            <w:r>
              <w:rPr>
                <w:rFonts w:ascii="Times New Roman" w:hAnsi="Times New Roman"/>
                <w:b/>
                <w:sz w:val="27"/>
              </w:rPr>
              <w:t>CHỦ TỊCH</w:t>
            </w:r>
          </w:p>
          <w:p>
            <w:pPr>
              <w:spacing w:before="0" w:after="20"/>
              <w:jc w:val="center"/>
            </w:pPr>
            <w:r>
              <w:rPr>
                <w:rFonts w:ascii="Times New Roman" w:hAnsi="Times New Roman"/>
                <w:b/>
                <w:sz w:val="27"/>
              </w:rPr>
              <w:t>TRƯỞNG BAN</w:t>
            </w:r>
          </w:p>
          <w:p>
            <w:pPr>
              <w:spacing w:before="720" w:after="0"/>
              <w:jc w:val="center"/>
            </w:pPr>
          </w:p>
          <w:p>
            <w:pPr>
              <w:spacing w:before="0" w:after="0"/>
              <w:jc w:val="center"/>
            </w:pPr>
            <w:r>
              <w:rPr>
                <w:rFonts w:ascii="Times New Roman" w:hAnsi="Times New Roman"/>
                <w:b/>
                <w:sz w:val="27"/>
              </w:rPr>
              <w:t>Phạm Văn B</w:t>
            </w:r>
          </w:p>
        </w:tc>
      </w:tr>
    </w:tbl>
    <w:sectPr w:rsidR="00FC693F" w:rsidRPr="0006063C" w:rsidSect="00034616">
      <w:headerReference w:type="default" r:id="rId9"/>
      <w:pgSz w:w="11906" w:h="16838"/>
      <w:pgMar w:top="1134" w:right="850" w:bottom="1134" w:left="1701" w:header="567"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