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TỈNH UỶ...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...-CTr/TU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CHƯƠNG TRÌNH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Hành động thực hiện Nghị quyết Đại hội đại biểu toàn quốc lần thứ XIV của Đảng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Thực hiện Nghị quyết Đại hội đại biểu toàn quốc lần thứ XIV của Đảng, Tỉnh uỷ xây dựng Chương trình hành động với các nội dung chủ yếu sau:</w:t>
      </w:r>
    </w:p>
    <w:p>
      <w:pPr>
        <w:spacing w:lineRule="exact" w:line="400" w:before="120" w:after="120"/>
        <w:ind w:firstLine="0"/>
        <w:jc w:val="both"/>
      </w:pPr>
      <w:r>
        <w:rPr>
          <w:rFonts w:ascii="Times New Roman" w:hAnsi="Times New Roman"/>
          <w:b/>
          <w:sz w:val="28"/>
        </w:rPr>
        <w:t>I. MỤC ĐÍCH, YÊU CẦU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Tạo sự thống nhất cao về nhận thức và hành động trong toàn Đảng bộ, phát huy sức mạnh khối đại đoàn kết toàn dân.</w:t>
      </w:r>
    </w:p>
    <w:p>
      <w:pPr>
        <w:spacing w:lineRule="exact" w:line="400" w:before="120" w:after="120"/>
        <w:ind w:firstLine="0"/>
        <w:jc w:val="both"/>
      </w:pPr>
      <w:r>
        <w:rPr>
          <w:rFonts w:ascii="Times New Roman" w:hAnsi="Times New Roman"/>
          <w:b/>
          <w:sz w:val="28"/>
        </w:rPr>
        <w:t>II. NHIỆM VỤ VÀ GIẢI PHÁP CHỦ YẾU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1. Tăng cường xây dựng Đảng và hệ thống chính trị trong sạch, vững mạnh toàn diện.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2. Đẩy mạnh đổi mới sáng tạo, phát triển kinh tế nhanh và bền vững.</w:t>
      </w:r>
    </w:p>
    <w:p>
      <w:pPr>
        <w:spacing w:lineRule="exact" w:line="400" w:before="120" w:after="120"/>
        <w:ind w:firstLine="0"/>
        <w:jc w:val="both"/>
      </w:pPr>
      <w:r>
        <w:rPr>
          <w:rFonts w:ascii="Times New Roman" w:hAnsi="Times New Roman"/>
          <w:b/>
          <w:sz w:val="28"/>
        </w:rPr>
        <w:t>III. TỔ CHỨC THỰC HIỆN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Các đảng bộ trực thuộc cụ thể hoá thành kế hoạch công tác của địa phương, đơn vị./.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Ban Bí thư Trung ương Đảng (b/c);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ban đảng Trung ương;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đảng bộ trực thuộc;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 Văn phòng Tỉnh uỷ.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TỈNH UỶ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