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TỈNH UỶ...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8"/>
              </w:rPr>
              <w:t>Số ...-CV/TU</w:t>
            </w:r>
          </w:p>
          <w:p>
            <w:pPr>
              <w:spacing w:before="80" w:after="0" w:line="276" w:lineRule="auto"/>
              <w:jc w:val="center"/>
            </w:pPr>
            <w:r>
              <w:rPr>
                <w:rFonts w:ascii="Times New Roman" w:hAnsi="Times New Roman"/>
                <w:i/>
                <w:sz w:val="24"/>
              </w:rPr>
              <w:t>V/v triển khai thực hiện Hướng dẫn số 05-HD/VPTW của Văn phòng Trung ương Đảng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20" w:after="160"/>
        <w:jc w:val="center"/>
      </w:pPr>
      <w:r>
        <w:rPr>
          <w:rFonts w:ascii="Times New Roman" w:hAnsi="Times New Roman"/>
          <w:i/>
          <w:sz w:val="28"/>
        </w:rPr>
        <w:t xml:space="preserve">Kính gửi: </w:t>
      </w:r>
      <w:r>
        <w:rPr>
          <w:rFonts w:ascii="Times New Roman" w:hAnsi="Times New Roman"/>
          <w:sz w:val="28"/>
        </w:rPr>
        <w:t>Các đảng uỷ trực thuộc Tỉnh uỷ.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Thực hiện ý kiến chỉ đạo của Thường trực Tỉnh uỷ về việc quán triệt và triển khai Hướng dẫn số 05-HD/VPTW của Văn phòng Trung ương Đảng về thể thức và kỹ thuật trình bày văn bản của Đảng;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Ban Thường vụ Tỉnh uỷ yêu cầu các cấp uỷ, tổ chức đảng trực thuộc tập trung triển khai thực hiện một số nội dung sau: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1. Tổ chức phổ biến, tập huấn kỹ thuật trình bày văn bản Đảng theo Hướng dẫn số 05-HD/VPTW cho toàn thể cán bộ làm công tác văn phòng, văn thư, lưu trữ.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2. Ứng dụng phần mềm chuẩn hóa văn bản V-Format trên hệ thống máy tính để tự động hóa khâu soát xét, bảo đảm thể thức thống nhất và tuyệt đối chuẩn xác.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Yêu cầu các cơ quan, đơn vị nghiêm túc triển khai thực hiện./.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 w:val="0"/>
                <w:sz w:val="28"/>
                <w:u w:val="single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Như trên;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Thường trực Tỉnh uỷ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ban đảng Tỉnh uỷ;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Lưu: Văn phòng Tỉnh uỷ.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T/M TỈNH UỶ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PHÓ BÍ THƯ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Nguyễn Văn B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