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left"/>
        <w:tblLayout w:type="fixed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Ind w:w="0" w:type="dxa"/>
      </w:tblPr>
      <w:tblGrid>
        <w:gridCol w:w="4535"/>
        <w:gridCol w:w="4819"/>
      </w:tblGrid>
      <w:tr>
        <w:tc>
          <w:tcPr>
            <w:tcW w:type="dxa" w:w="4535"/>
            <w:tcMar>
              <w:top w:w="0" w:type="dxa"/>
              <w:bottom w:w="0" w:type="dxa"/>
              <w:left w:w="0" w:type="dxa"/>
              <w:right w:w="0" w:type="dxa"/>
            </w:tcMar>
          </w:tcPr>
          <w:p>
            <w:pPr>
              <w:spacing w:before="0" w:after="0" w:line="276" w:lineRule="auto"/>
              <w:jc w:val="center"/>
            </w:pPr>
            <w:r>
              <w:rPr>
                <w:rFonts w:ascii="Times New Roman" w:hAnsi="Times New Roman"/>
                <w:b/>
                <w:sz w:val="28"/>
              </w:rPr>
              <w:t>TỈNH UỶ...</w:t>
            </w:r>
          </w:p>
          <w:p>
            <w:pPr>
              <w:spacing w:before="0" w:after="40"/>
              <w:jc w:val="center"/>
            </w:pPr>
            <w:r>
              <w:rPr>
                <w:rFonts w:ascii="Times New Roman" w:hAnsi="Times New Roman"/>
                <w:b/>
                <w:sz w:val="28"/>
              </w:rPr>
              <w:t>*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sz w:val="28"/>
              </w:rPr>
              <w:t>Số ...-NQ/TU</w:t>
            </w:r>
          </w:p>
        </w:tc>
        <w:tc>
          <w:tcPr>
            <w:tcW w:type="dxa" w:w="4819"/>
            <w:tcMar>
              <w:top w:w="0" w:type="dxa"/>
              <w:bottom w:w="0" w:type="dxa"/>
              <w:left w:w="0" w:type="dxa"/>
              <w:right w:w="0" w:type="dxa"/>
            </w:tcMar>
          </w:tcPr>
          <w:p>
            <w:pPr>
              <w:spacing w:before="0" w:after="20"/>
              <w:jc w:val="center"/>
            </w:pPr>
            <w:r>
              <w:rPr>
                <w:rFonts w:ascii="Times New Roman" w:hAnsi="Times New Roman"/>
                <w:b/>
                <w:sz w:val="30"/>
              </w:rPr>
              <w:t>ĐẢNG CỘNG SẢN VIỆT NAM</w:t>
            </w:r>
          </w:p>
          <w:p>
            <w:pPr>
              <w:spacing w:before="0" w:after="6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————————————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i/>
                <w:sz w:val="28"/>
              </w:rPr>
              <w:t>..., ngày ... tháng ... năm 20...</w:t>
            </w:r>
          </w:p>
        </w:tc>
      </w:tr>
    </w:tbl>
    <w:p>
      <w:pPr>
        <w:spacing w:before="0" w:after="160"/>
      </w:pPr>
    </w:p>
    <w:p>
      <w:pPr>
        <w:spacing w:before="160" w:after="40"/>
        <w:jc w:val="center"/>
      </w:pPr>
      <w:r>
        <w:rPr>
          <w:rFonts w:ascii="Times New Roman" w:hAnsi="Times New Roman"/>
          <w:b/>
          <w:sz w:val="32"/>
        </w:rPr>
        <w:t>NGHỊ QUYẾT</w:t>
      </w:r>
    </w:p>
    <w:p>
      <w:pPr>
        <w:spacing w:before="0" w:after="80"/>
        <w:jc w:val="center"/>
      </w:pPr>
      <w:r>
        <w:rPr>
          <w:rFonts w:ascii="Times New Roman" w:hAnsi="Times New Roman"/>
          <w:b/>
          <w:sz w:val="28"/>
        </w:rPr>
        <w:t>Về phát triển kinh tế số, xã hội số và chuyển đổi số giai đoạn 2025 - 2030</w:t>
      </w:r>
    </w:p>
    <w:p>
      <w:pPr>
        <w:spacing w:before="0" w:after="120"/>
        <w:jc w:val="center"/>
      </w:pPr>
      <w:r>
        <w:rPr>
          <w:rFonts w:ascii="Times New Roman" w:hAnsi="Times New Roman"/>
          <w:sz w:val="28"/>
        </w:rPr>
        <w:t>-----</w:t>
      </w:r>
    </w:p>
    <w:p>
      <w:pPr>
        <w:spacing w:lineRule="exact" w:line="400" w:before="120" w:after="120"/>
        <w:jc w:val="both"/>
      </w:pPr>
      <w:r>
        <w:rPr>
          <w:rFonts w:ascii="Times New Roman" w:hAnsi="Times New Roman"/>
          <w:b/>
          <w:sz w:val="28"/>
        </w:rPr>
        <w:t>I. TÌNH HÌNH VÀ NGUYÊN NHÂN</w:t>
      </w:r>
    </w:p>
    <w:p>
      <w:pPr>
        <w:spacing w:lineRule="exact" w:line="400" w:before="0" w:after="120"/>
        <w:ind w:firstLine="720"/>
        <w:jc w:val="both"/>
      </w:pPr>
      <w:r>
        <w:rPr>
          <w:rFonts w:ascii="Times New Roman" w:hAnsi="Times New Roman"/>
          <w:sz w:val="28"/>
        </w:rPr>
        <w:t>Trong những năm qua, công tác xây dựng Đảng và hệ thống chính trị của tỉnh đã đạt được nhiều kết quả quan trọng...</w:t>
      </w:r>
    </w:p>
    <w:p>
      <w:pPr>
        <w:spacing w:lineRule="exact" w:line="400" w:before="120" w:after="120"/>
        <w:jc w:val="both"/>
      </w:pPr>
      <w:r>
        <w:rPr>
          <w:rFonts w:ascii="Times New Roman" w:hAnsi="Times New Roman"/>
          <w:b/>
          <w:sz w:val="28"/>
        </w:rPr>
        <w:t>II. QUAN ĐIỂM, MỤC TIÊU VÀ NHIỆM VỤ TRỌNG TÂM</w:t>
      </w:r>
    </w:p>
    <w:p>
      <w:pPr>
        <w:spacing w:lineRule="exact" w:line="400" w:before="0" w:after="120"/>
        <w:ind w:firstLine="720"/>
        <w:jc w:val="both"/>
      </w:pPr>
      <w:r>
        <w:rPr>
          <w:rFonts w:ascii="Times New Roman" w:hAnsi="Times New Roman"/>
          <w:sz w:val="28"/>
        </w:rPr>
        <w:t>1. Quan điểm chỉ đạo: Chuyển đổi số là nhiệm vụ chiến lược, đột phá nhằm nâng cao hiệu lực, hiệu quả lãnh đạo của cấp uỷ đảng.</w:t>
      </w:r>
    </w:p>
    <w:p>
      <w:pPr>
        <w:spacing w:lineRule="exact" w:line="400" w:before="0" w:after="120"/>
        <w:ind w:firstLine="720"/>
        <w:jc w:val="both"/>
      </w:pPr>
      <w:r>
        <w:rPr>
          <w:rFonts w:ascii="Times New Roman" w:hAnsi="Times New Roman"/>
          <w:sz w:val="28"/>
        </w:rPr>
        <w:t>2. Mục tiêu đến năm 2030: 100% cơ quan đảng ứng dụng phần mềm chuẩn hóa văn bản V-Format và xử lý công việc trên môi trường mạng an toàn.</w:t>
      </w:r>
    </w:p>
    <w:p>
      <w:pPr>
        <w:spacing w:lineRule="exact" w:line="400" w:before="120" w:after="120"/>
        <w:jc w:val="both"/>
      </w:pPr>
      <w:r>
        <w:rPr>
          <w:rFonts w:ascii="Times New Roman" w:hAnsi="Times New Roman"/>
          <w:b/>
          <w:sz w:val="28"/>
        </w:rPr>
        <w:t>III. TỔ CHỨC THỰC HIỆN</w:t>
      </w:r>
    </w:p>
    <w:p>
      <w:pPr>
        <w:spacing w:lineRule="exact" w:line="400" w:before="0" w:after="120"/>
        <w:ind w:firstLine="720"/>
        <w:jc w:val="both"/>
      </w:pPr>
      <w:r>
        <w:rPr>
          <w:rFonts w:ascii="Times New Roman" w:hAnsi="Times New Roman"/>
          <w:sz w:val="28"/>
        </w:rPr>
        <w:t>Các đảng uỷ trực thuộc, các ban đảng, ban cán sự đảng, đảng đoàn căn cứ Nghị quyết xây dựng chương trình hành động cụ thể./.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Ind w:w="0" w:type="dxa"/>
      </w:tblPr>
      <w:tblGrid>
        <w:gridCol w:w="4535"/>
        <w:gridCol w:w="4819"/>
      </w:tblGrid>
      <w:tr>
        <w:tc>
          <w:tcPr>
            <w:tcW w:type="dxa" w:w="4535"/>
            <w:tcMar>
              <w:top w:w="0" w:type="dxa"/>
              <w:bottom w:w="0" w:type="dxa"/>
              <w:left w:w="0" w:type="dxa"/>
              <w:right w:w="113" w:type="dxa"/>
            </w:tcMar>
          </w:tcPr>
          <w:p>
            <w:pPr>
              <w:spacing w:before="0" w:after="40"/>
            </w:pPr>
            <w:r>
              <w:rPr>
                <w:rFonts w:ascii="Times New Roman" w:hAnsi="Times New Roman"/>
                <w:b w:val="0"/>
                <w:sz w:val="28"/>
                <w:u w:val="single"/>
              </w:rPr>
              <w:t>Nơi nhận: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4"/>
              </w:rPr>
              <w:t>- Thường trực Ban Bí thư (để b/c);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4"/>
              </w:rPr>
              <w:t>- Các ban đảng Trung ương;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4"/>
              </w:rPr>
              <w:t>- Các thành uỷ, đảng uỷ trực thuộc, các đảng bộ cơ sở;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4"/>
              </w:rPr>
              <w:t>- Các đồng chí Tỉnh uỷ viên;</w:t>
            </w:r>
          </w:p>
          <w:p>
            <w:pPr>
              <w:spacing w:before="0" w:after="0" w:line="264" w:lineRule="auto"/>
              <w:ind w:left="113"/>
            </w:pPr>
            <w:r>
              <w:rPr>
                <w:rFonts w:ascii="Times New Roman" w:hAnsi="Times New Roman"/>
                <w:sz w:val="24"/>
              </w:rPr>
              <w:t>- Lưu Văn phòng Tỉnh uỷ.</w:t>
            </w:r>
          </w:p>
        </w:tc>
        <w:tc>
          <w:tcPr>
            <w:tcW w:type="dxa" w:w="4819"/>
            <w:tcMar>
              <w:top w:w="0" w:type="dxa"/>
              <w:bottom w:w="0" w:type="dxa"/>
              <w:left w:w="113" w:type="dxa"/>
              <w:right w:w="0" w:type="dxa"/>
            </w:tcMar>
          </w:tcPr>
          <w:p>
            <w:pPr>
              <w:spacing w:before="0" w:after="20"/>
              <w:jc w:val="center"/>
            </w:pPr>
            <w:r>
              <w:rPr>
                <w:rFonts w:ascii="Times New Roman" w:hAnsi="Times New Roman"/>
                <w:b/>
                <w:sz w:val="28"/>
              </w:rPr>
              <w:t>T/M TỈNH UỶ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b w:val="0"/>
                <w:sz w:val="28"/>
              </w:rPr>
              <w:t>BÍ THƯ</w:t>
            </w:r>
          </w:p>
          <w:p>
            <w:pPr>
              <w:spacing w:before="720" w:after="0"/>
              <w:jc w:val="center"/>
            </w:pP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b/>
                <w:sz w:val="28"/>
              </w:rPr>
              <w:t>Nguyễn Văn A</w:t>
            </w:r>
          </w:p>
        </w:tc>
      </w:tr>
    </w:tbl>
    <w:sectPr w:rsidR="00FC693F" w:rsidRPr="0006063C" w:rsidSect="00034616">
      <w:headerReference w:type="default" r:id="rId9"/>
      <w:pgSz w:w="11906" w:h="16838"/>
      <w:pgMar w:top="1134" w:right="850" w:bottom="1134" w:left="1701" w:header="567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before="0" w:after="0"/>
      <w:jc w:val="center"/>
    </w:pPr>
    <w:r>
      <w:rPr>
        <w:rFonts w:ascii="Times New Roman" w:hAnsi="Times New Roman"/>
        <w:sz w:val="28"/>
      </w:rPr>
    </w:r>
    <w:fldSimple w:instr="PAGE"/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