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sz w:val="26"/>
              </w:rPr>
              <w:t>ỦY BAN NHÂN DÂN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TỈNH ...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 xml:space="preserve">Số: 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5"/>
              </w:rPr>
              <w:t>CỘNG HÒA XÃ HỘI CHỦ NGHĨA VIỆT NAM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2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28"/>
        </w:rPr>
        <w:t>ĐỀ ÁN</w:t>
      </w:r>
    </w:p>
    <w:p>
      <w:pPr>
        <w:spacing w:before="0" w:after="80"/>
        <w:jc w:val="center"/>
      </w:pPr>
      <w:r>
        <w:rPr>
          <w:rFonts w:ascii="Times New Roman" w:hAnsi="Times New Roman"/>
          <w:b/>
          <w:sz w:val="28"/>
        </w:rPr>
        <w:t>Phát triển chính quyền số và đô thị thông minh giai đoạn 2026 - 2030</w:t>
      </w:r>
    </w:p>
    <w:p>
      <w:pPr>
        <w:spacing w:before="0" w:after="120"/>
        <w:jc w:val="center"/>
      </w:pPr>
      <w:r>
        <w:rPr>
          <w:rFonts w:ascii="Times New Roman" w:hAnsi="Times New Roman"/>
          <w:b/>
          <w:sz w:val="20"/>
        </w:rPr>
        <w:t>————————</w:t>
      </w:r>
    </w:p>
    <w:p>
      <w:pPr>
        <w:spacing w:line="276" w:lineRule="auto" w:before="120" w:after="120"/>
        <w:ind w:firstLine="0"/>
        <w:jc w:val="center"/>
      </w:pPr>
      <w:r>
        <w:rPr>
          <w:rFonts w:ascii="Times New Roman" w:hAnsi="Times New Roman"/>
          <w:b/>
          <w:sz w:val="28"/>
        </w:rPr>
        <w:t>Phần thứ nhất: SỰ CẦN THIẾT VÀ CĂN CỨ XÂY DỰNG ĐỀ ÁN</w:t>
      </w:r>
    </w:p>
    <w:p>
      <w:pPr>
        <w:spacing w:line="276" w:lineRule="auto" w:before="80" w:after="120"/>
        <w:ind w:firstLine="0"/>
        <w:jc w:val="both"/>
      </w:pPr>
      <w:r>
        <w:rPr>
          <w:rFonts w:ascii="Times New Roman" w:hAnsi="Times New Roman"/>
          <w:b/>
          <w:sz w:val="28"/>
        </w:rPr>
        <w:t>I. SỰ CẦN THIẾT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Trước yêu cầu của cuộc Cách mạng công nghiệp lần thứ tư, việc đẩy mạnh ứng dụng công nghệ thông tin là xu thế tất yếu.</w:t>
      </w:r>
    </w:p>
    <w:p>
      <w:pPr>
        <w:spacing w:line="276" w:lineRule="auto" w:before="80" w:after="120"/>
        <w:ind w:firstLine="0"/>
        <w:jc w:val="both"/>
      </w:pPr>
      <w:r>
        <w:rPr>
          <w:rFonts w:ascii="Times New Roman" w:hAnsi="Times New Roman"/>
          <w:b/>
          <w:sz w:val="28"/>
        </w:rPr>
        <w:t>II. CĂN CỨ PHÁP LÝ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Căn cứ Quyết định số 749/QĐ-TTg của Thủ tướng Chính phủ phê duyệt Chương trình chuyển đổi số quốc gia.</w:t>
      </w:r>
    </w:p>
    <w:p>
      <w:pPr>
        <w:spacing w:line="276" w:lineRule="auto" w:before="120" w:after="120"/>
        <w:ind w:firstLine="0"/>
        <w:jc w:val="center"/>
      </w:pPr>
      <w:r>
        <w:rPr>
          <w:rFonts w:ascii="Times New Roman" w:hAnsi="Times New Roman"/>
          <w:b/>
          <w:sz w:val="28"/>
        </w:rPr>
        <w:t>Phần thứ hai: MỤC TIÊU VÀ NHIỆM VỤ GIẢI PHÁP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1. Đến năm 2030: 100% dịch vụ công trực tuyến toàn trình được tích hợp trên Cổng Dịch vụ công quốc gia.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2. Phát triển hạ tầng số hiện đại, an toàn và đồng bộ./.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2"/>
        <w:gridCol w:w="5102"/>
      </w:tblGrid>
      <w:tr>
        <w:tc>
          <w:tcPr>
            <w:tcW w:type="dxa" w:w="4252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Thủ tướng Chính phủ (b/c);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Bộ Thông tin và Truyền thông;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Thường trực Tỉnh ủy;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 VT, UBND.</w:t>
            </w:r>
          </w:p>
        </w:tc>
        <w:tc>
          <w:tcPr>
            <w:tcW w:type="dxa" w:w="5102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CHỦ TỊCH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[Họ và tên]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