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PHƯỜNG...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.../QĐ-UBND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QUYẾT ĐỊNH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6"/>
        </w:rPr>
        <w:t>Về việc thành lập Tổ công tác triển khai Đề án cơ sở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40" w:after="160"/>
        <w:jc w:val="center"/>
      </w:pPr>
      <w:r>
        <w:rPr>
          <w:rFonts w:ascii="Times New Roman" w:hAnsi="Times New Roman"/>
          <w:b/>
          <w:sz w:val="26"/>
        </w:rPr>
        <w:t>CHỦ TỊCH ỦY BAN NHÂN DÂN PHƯỜNG...</w:t>
      </w:r>
    </w:p>
    <w:p>
      <w:pPr>
        <w:spacing w:before="0" w:after="60" w:line="312" w:lineRule="auto"/>
        <w:ind w:firstLine="720"/>
        <w:jc w:val="both"/>
      </w:pPr>
      <w:r>
        <w:rPr>
          <w:rFonts w:ascii="Times New Roman" w:hAnsi="Times New Roman"/>
          <w:i/>
          <w:sz w:val="27"/>
        </w:rPr>
        <w:t>Căn cứ Luật Tổ chức chính quyền địa phương;</w:t>
      </w:r>
    </w:p>
    <w:p>
      <w:pPr>
        <w:spacing w:before="0" w:after="60" w:line="312" w:lineRule="auto"/>
        <w:ind w:firstLine="720"/>
        <w:jc w:val="both"/>
      </w:pPr>
      <w:r>
        <w:rPr>
          <w:rFonts w:ascii="Times New Roman" w:hAnsi="Times New Roman"/>
          <w:i/>
          <w:sz w:val="27"/>
        </w:rPr>
        <w:t>Căn cứ Nghị định số 30/2020/NĐ-CP về công tác văn thư;</w:t>
      </w:r>
    </w:p>
    <w:p>
      <w:pPr>
        <w:spacing w:before="0" w:after="60" w:line="312" w:lineRule="auto"/>
        <w:ind w:firstLine="720"/>
        <w:jc w:val="both"/>
      </w:pPr>
      <w:r>
        <w:rPr>
          <w:rFonts w:ascii="Times New Roman" w:hAnsi="Times New Roman"/>
          <w:i/>
          <w:sz w:val="27"/>
        </w:rPr>
        <w:t>Xét đề nghị của Công chức Văn phòng - Thống kê phường.</w:t>
      </w:r>
    </w:p>
    <w:p>
      <w:pPr>
        <w:spacing w:before="120" w:after="120"/>
        <w:jc w:val="center"/>
      </w:pPr>
      <w:r>
        <w:rPr>
          <w:rFonts w:ascii="Times New Roman" w:hAnsi="Times New Roman"/>
          <w:b/>
          <w:sz w:val="28"/>
        </w:rPr>
        <w:t>QUYẾT ĐỊNH: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b/>
          <w:sz w:val="28"/>
        </w:rPr>
        <w:t>Điều 1.</w:t>
      </w:r>
      <w:r>
        <w:rPr>
          <w:rFonts w:ascii="Times New Roman" w:hAnsi="Times New Roman"/>
          <w:sz w:val="28"/>
        </w:rPr>
        <w:t xml:space="preserve"> Thành lập Tổ công tác triển khai Đề án cơ sở tại phường gồm các ông (bà) có tên tại danh sách kèm theo.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b/>
          <w:sz w:val="28"/>
        </w:rPr>
        <w:t>Điều 2.</w:t>
      </w:r>
      <w:r>
        <w:rPr>
          <w:rFonts w:ascii="Times New Roman" w:hAnsi="Times New Roman"/>
          <w:sz w:val="28"/>
        </w:rPr>
        <w:t xml:space="preserve"> Quyết định này có hiệu lực kể từ ngày ký.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b/>
          <w:sz w:val="28"/>
        </w:rPr>
        <w:t>Điều 3.</w:t>
      </w:r>
      <w:r>
        <w:rPr>
          <w:rFonts w:ascii="Times New Roman" w:hAnsi="Times New Roman"/>
          <w:sz w:val="28"/>
        </w:rPr>
        <w:t xml:space="preserve"> Văn phòng HĐND &amp; UBND phường và các ông (bà) có tên tại Điều 1 chịu trách nhiệm thi hành Quyết định này./.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Điều 3;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Đảng ủy, HĐND xã;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