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UBND TỈNH...</w:t>
            </w:r>
          </w:p>
          <w:p>
            <w:pPr>
              <w:spacing w:before="0" w:after="0" w:line="276" w:lineRule="auto"/>
              <w:jc w:val="center"/>
            </w:pPr>
            <w:r>
              <w:rPr>
                <w:rFonts w:ascii="Times New Roman" w:hAnsi="Times New Roman"/>
                <w:b/>
                <w:sz w:val="26"/>
              </w:rPr>
              <w:t>UBND XÃ...</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.../TB-UBND</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20"/>
      </w:pPr>
    </w:p>
    <w:p>
      <w:pPr>
        <w:spacing w:before="160" w:after="40"/>
        <w:jc w:val="center"/>
      </w:pPr>
      <w:r>
        <w:rPr>
          <w:rFonts w:ascii="Times New Roman" w:hAnsi="Times New Roman"/>
          <w:b/>
          <w:sz w:val="28"/>
        </w:rPr>
        <w:t>THÔNG BÁO</w:t>
      </w:r>
    </w:p>
    <w:p>
      <w:pPr>
        <w:spacing w:before="0" w:after="120"/>
        <w:jc w:val="center"/>
      </w:pPr>
      <w:r>
        <w:rPr>
          <w:rFonts w:ascii="Times New Roman" w:hAnsi="Times New Roman"/>
          <w:b/>
          <w:sz w:val="27"/>
        </w:rPr>
        <w:t>Về việc niêm yết công khai thủ tục hành chính tại Bộ phận Một cửa</w:t>
      </w:r>
    </w:p>
    <w:p>
      <w:pPr>
        <w:spacing w:before="0" w:after="80" w:line="324" w:lineRule="auto"/>
        <w:ind w:firstLine="720"/>
        <w:jc w:val="both"/>
      </w:pPr>
      <w:r>
        <w:rPr>
          <w:rFonts w:ascii="Times New Roman" w:hAnsi="Times New Roman"/>
          <w:sz w:val="28"/>
        </w:rPr>
        <w:t>Ủy ban nhân dân xã thông báo đến toàn thể các cơ quan, tổ chức, doanh nghiệp và nhân dân trên địa bàn về việc niêm yết danh mục thủ tục hành chính mới ban hành:</w:t>
      </w:r>
    </w:p>
    <w:p>
      <w:pPr>
        <w:spacing w:before="0" w:after="80" w:line="324" w:lineRule="auto"/>
        <w:ind w:firstLine="720"/>
        <w:jc w:val="both"/>
      </w:pPr>
      <w:r>
        <w:rPr>
          <w:rFonts w:ascii="Times New Roman" w:hAnsi="Times New Roman"/>
          <w:sz w:val="28"/>
        </w:rPr>
        <w:t>1. Danh mục thủ tục hành chính được niêm yết công khai tại Trụ sở UBND xã và đăng tải trên Trang thông tin điện tử cơ sở.</w:t>
      </w:r>
    </w:p>
    <w:p>
      <w:pPr>
        <w:spacing w:before="0" w:after="80" w:line="324" w:lineRule="auto"/>
        <w:ind w:firstLine="720"/>
        <w:jc w:val="both"/>
      </w:pPr>
      <w:r>
        <w:rPr>
          <w:rFonts w:ascii="Times New Roman" w:hAnsi="Times New Roman"/>
          <w:sz w:val="28"/>
        </w:rPr>
        <w:t>2. Thời gian tiếp nhận và trả kết quả: Từ thứ Hai đến thứ Sáu hàng tuần (trong giờ hành chính).</w:t>
      </w:r>
    </w:p>
    <w:p>
      <w:pPr>
        <w:spacing w:before="0" w:after="80" w:line="324" w:lineRule="auto"/>
        <w:ind w:firstLine="720"/>
        <w:jc w:val="both"/>
      </w:pPr>
      <w:r>
        <w:rPr>
          <w:rFonts w:ascii="Times New Roman" w:hAnsi="Times New Roman"/>
          <w:sz w:val="28"/>
        </w:rPr>
        <w:t>Ủy ban nhân dân xã thông báo để các cơ quan, tổ chức, nhân dân biết và thuận tiện liên hệ công tác./.</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Như trên;</w:t>
            </w:r>
          </w:p>
          <w:p>
            <w:pPr>
              <w:spacing w:before="0" w:after="20" w:line="264" w:lineRule="auto"/>
              <w:ind w:left="113"/>
            </w:pPr>
            <w:r>
              <w:rPr>
                <w:rFonts w:ascii="Times New Roman" w:hAnsi="Times New Roman"/>
                <w:sz w:val="22"/>
              </w:rPr>
              <w:t>- Chủ tịch, các PCT UBND;</w:t>
            </w:r>
          </w:p>
          <w:p>
            <w:pPr>
              <w:spacing w:before="0" w:after="20" w:line="264" w:lineRule="auto"/>
              <w:ind w:left="113"/>
            </w:pPr>
            <w:r>
              <w:rPr>
                <w:rFonts w:ascii="Times New Roman" w:hAnsi="Times New Roman"/>
                <w:sz w:val="22"/>
              </w:rPr>
              <w:t>- Bộ phận Một cửa;</w:t>
            </w:r>
          </w:p>
          <w:p>
            <w:pPr>
              <w:spacing w:before="0" w:after="20" w:line="264" w:lineRule="auto"/>
              <w:ind w:left="113"/>
            </w:pPr>
            <w:r>
              <w:rPr>
                <w:rFonts w:ascii="Times New Roman" w:hAnsi="Times New Roman"/>
                <w:sz w:val="22"/>
              </w:rPr>
              <w:t>- Lưu: VT.</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TM. ỦY BAN NHÂN DÂN</w:t>
            </w:r>
          </w:p>
          <w:p>
            <w:pPr>
              <w:spacing w:before="0" w:after="20"/>
              <w:jc w:val="center"/>
            </w:pPr>
            <w:r>
              <w:rPr>
                <w:rFonts w:ascii="Times New Roman" w:hAnsi="Times New Roman"/>
                <w:b/>
                <w:sz w:val="27"/>
              </w:rPr>
              <w:t>KT. CHỦ TỊCH</w:t>
            </w:r>
          </w:p>
          <w:p>
            <w:pPr>
              <w:spacing w:before="0" w:after="20"/>
              <w:jc w:val="center"/>
            </w:pPr>
            <w:r>
              <w:rPr>
                <w:rFonts w:ascii="Times New Roman" w:hAnsi="Times New Roman"/>
                <w:b/>
                <w:sz w:val="27"/>
              </w:rPr>
              <w:t>PHÓ CHỦ TỊCH</w:t>
            </w:r>
          </w:p>
          <w:p>
            <w:pPr>
              <w:spacing w:before="720" w:after="0"/>
              <w:jc w:val="center"/>
            </w:pPr>
          </w:p>
          <w:p>
            <w:pPr>
              <w:spacing w:before="0" w:after="0"/>
              <w:jc w:val="center"/>
            </w:pPr>
            <w:r>
              <w:rPr>
                <w:rFonts w:ascii="Times New Roman" w:hAnsi="Times New Roman"/>
                <w:b/>
                <w:sz w:val="27"/>
              </w:rPr>
              <w:t>Lê Văn C</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