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VĂN PHÒNG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.../PC-VP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PHIẾU CHUYỂN</w:t>
      </w:r>
    </w:p>
    <w:p>
      <w:pPr>
        <w:spacing w:before="80" w:after="120"/>
        <w:ind w:firstLine="720"/>
        <w:jc w:val="left"/>
      </w:pPr>
      <w:r>
        <w:rPr>
          <w:rFonts w:ascii="Times New Roman" w:hAnsi="Times New Roman"/>
          <w:sz w:val="28"/>
        </w:rPr>
        <w:t>Kính gửi: [Tên cơ quan, đơn vị nhận chuyển đơn/văn bản]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Văn phòng Ủy ban nhân dân tỉnh nhận được văn bản/đơn số ... ngày ... của [Tên cơ quan/công dân].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Nội dung: [Trích yếu nội dung văn bản hoặc đơn kiến nghị].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Căn cứ chức năng, nhiệm vụ và thẩm quyền, Văn phòng Ủy ban nhân dân tỉnh chuyển văn bản/đơn nêu trên đến [Tên cơ quan nhận] để xem xét, giải quyết theo quy định và báo cáo kết quả về Ủy ban nhân dân tỉnh trước ngày ... tháng ... năm 20.../.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kính gửi;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Chủ tịch UBND tỉnh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Cơ quan/người gửi đơn;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 VT, VP.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CHÁNH VĂN PHÒNG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