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ỦY BAN NHÂN DÂN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TỈNH 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.../QĐ-UBND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QUY ĐỊNH</w:t>
      </w:r>
    </w:p>
    <w:p>
      <w:pPr>
        <w:spacing w:before="0" w:after="80"/>
        <w:jc w:val="center"/>
      </w:pPr>
      <w:r>
        <w:rPr>
          <w:rFonts w:ascii="Times New Roman" w:hAnsi="Times New Roman"/>
          <w:i/>
          <w:sz w:val="26"/>
        </w:rPr>
        <w:t>(Ban hành kèm theo Quyết định số .../2026/QĐ-UBND ngày ... tháng ... năm 20... của UBND tỉnh)</w:t>
      </w:r>
    </w:p>
    <w:p>
      <w:pPr>
        <w:spacing w:line="276" w:lineRule="auto" w:before="120" w:after="120"/>
        <w:ind w:firstLine="0"/>
        <w:jc w:val="center"/>
      </w:pPr>
      <w:r>
        <w:rPr>
          <w:rFonts w:ascii="Times New Roman" w:hAnsi="Times New Roman"/>
          <w:b/>
          <w:sz w:val="28"/>
        </w:rPr>
        <w:t>Chương I: QUY ĐỊNH CHUNG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b/>
          <w:sz w:val="28"/>
        </w:rPr>
        <w:t>Điều 1. Phạm vi điều chỉnh và đối tượng áp dụng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1. Quy định này quy định về trình tự, thủ tục tiếp nhận và giải quyết thủ tục hành chính.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2. Áp dụng đối với các cơ quan chuyên môn thuộc Ủy ban nhân dân tỉnh và các tổ chức, cá nhân có liên quan.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b/>
          <w:sz w:val="28"/>
        </w:rPr>
        <w:t>Điều 2. Nguyên tắc thực hiện</w:t>
      </w:r>
    </w:p>
    <w:p>
      <w:pPr>
        <w:spacing w:line="276" w:lineRule="auto" w:before="0" w:after="120"/>
        <w:ind w:firstLine="720"/>
        <w:jc w:val="both"/>
      </w:pPr>
      <w:r>
        <w:rPr>
          <w:rFonts w:ascii="Times New Roman" w:hAnsi="Times New Roman"/>
          <w:sz w:val="28"/>
        </w:rPr>
        <w:t>Bảo đảm công khai, minh bạch, nhanh chóng và đúng quy định pháp luật./.</w:t>
      </w:r>
    </w:p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