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76" w:lineRule="auto"/>
              <w:jc w:val="center"/>
            </w:pPr>
            <w:r>
              <w:rPr>
                <w:rFonts w:ascii="Times New Roman" w:hAnsi="Times New Roman"/>
                <w:sz w:val="26"/>
              </w:rPr>
              <w:t>ỦY BAN NHÂN DÂN TỈNH...</w:t>
            </w:r>
          </w:p>
          <w:p>
            <w:pPr>
              <w:spacing w:before="0" w:after="0" w:line="276" w:lineRule="auto"/>
              <w:jc w:val="center"/>
            </w:pPr>
            <w:r>
              <w:rPr>
                <w:rFonts w:ascii="Times New Roman" w:hAnsi="Times New Roman"/>
                <w:b/>
                <w:sz w:val="26"/>
              </w:rPr>
              <w:t>ỦY BAN NHÂN DÂN</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.../QĐ-UBND</w:t>
            </w:r>
          </w:p>
        </w:tc>
        <w:tc>
          <w:tcPr>
            <w:tcW w:type="dxa" w:w="5669"/>
            <w:tcMar>
              <w:top w:w="0" w:type="dxa"/>
              <w:bottom w:w="0" w:type="dxa"/>
              <w:left w:w="0" w:type="dxa"/>
              <w:right w:w="0" w:type="dxa"/>
            </w:tcMar>
          </w:tcPr>
          <w:p>
            <w:pPr>
              <w:spacing w:before="0" w:after="0"/>
              <w:jc w:val="center"/>
            </w:pPr>
            <w:r>
              <w:rPr>
                <w:rFonts w:ascii="Times New Roman" w:hAnsi="Times New Roman"/>
                <w:b/>
                <w:sz w:val="25"/>
              </w:rPr>
              <w:t>CỘNG HÒA XÃ HỘI CHỦ NGHĨA VIỆT NAM</w:t>
            </w:r>
          </w:p>
          <w:p>
            <w:pPr>
              <w:spacing w:before="0" w:after="40"/>
              <w:jc w:val="center"/>
            </w:pPr>
            <w:r>
              <w:rPr>
                <w:rFonts w:ascii="Times New Roman" w:hAnsi="Times New Roman"/>
                <w:b/>
                <w:sz w:val="27"/>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8"/>
              </w:rPr>
              <w:t>..., ngày ... tháng ... năm 20...</w:t>
            </w:r>
          </w:p>
        </w:tc>
      </w:tr>
    </w:tbl>
    <w:p>
      <w:pPr>
        <w:spacing w:before="0" w:after="120"/>
      </w:pPr>
    </w:p>
    <w:p>
      <w:pPr>
        <w:spacing w:before="160" w:after="40"/>
        <w:jc w:val="center"/>
      </w:pPr>
      <w:r>
        <w:rPr>
          <w:rFonts w:ascii="Times New Roman" w:hAnsi="Times New Roman"/>
          <w:b/>
          <w:sz w:val="28"/>
        </w:rPr>
        <w:t>QUYẾT ĐỊNH</w:t>
      </w:r>
    </w:p>
    <w:p>
      <w:pPr>
        <w:spacing w:before="0" w:after="160"/>
        <w:jc w:val="center"/>
      </w:pPr>
      <w:r>
        <w:rPr>
          <w:rFonts w:ascii="Times New Roman" w:hAnsi="Times New Roman"/>
          <w:b/>
          <w:sz w:val="27"/>
        </w:rPr>
        <w:t>Ban hành Quy chế văn thư, lưu trữ điện tử của các cơ quan hành chính nhà nước</w:t>
      </w:r>
    </w:p>
    <w:p>
      <w:pPr>
        <w:spacing w:before="80" w:after="160"/>
        <w:jc w:val="center"/>
      </w:pPr>
      <w:r>
        <w:rPr>
          <w:rFonts w:ascii="Times New Roman" w:hAnsi="Times New Roman"/>
          <w:b/>
          <w:sz w:val="27"/>
        </w:rPr>
        <w:t>ỦY BAN NHÂN DÂN TỈNH...</w:t>
      </w:r>
    </w:p>
    <w:p>
      <w:pPr>
        <w:spacing w:before="0" w:after="80" w:line="324" w:lineRule="auto"/>
        <w:ind w:firstLine="720"/>
        <w:jc w:val="both"/>
      </w:pPr>
      <w:r>
        <w:rPr>
          <w:rFonts w:ascii="Times New Roman" w:hAnsi="Times New Roman"/>
          <w:i/>
          <w:sz w:val="26"/>
        </w:rPr>
        <w:t>Căn cứ Luật Tổ chức chính quyền địa phương ngày 19 tháng 6 năm 2015; Luật sửa đổi, bổ sung một số điều của Luật Tổ chức Chính phủ và Luật Tổ chức chính quyền địa phương ngày 22 tháng 11 năm 2019;</w:t>
      </w:r>
    </w:p>
    <w:p>
      <w:pPr>
        <w:spacing w:before="0" w:after="80" w:line="324" w:lineRule="auto"/>
        <w:ind w:firstLine="720"/>
        <w:jc w:val="both"/>
      </w:pPr>
      <w:r>
        <w:rPr>
          <w:rFonts w:ascii="Times New Roman" w:hAnsi="Times New Roman"/>
          <w:i/>
          <w:sz w:val="26"/>
        </w:rPr>
        <w:t>Căn cứ Nghị định số 30/2020/NĐ-CP ngày 05 tháng 3 năm 2020 của Chính phủ về công tác văn thư;</w:t>
      </w:r>
    </w:p>
    <w:p>
      <w:pPr>
        <w:spacing w:before="0" w:after="80" w:line="324" w:lineRule="auto"/>
        <w:ind w:firstLine="720"/>
        <w:jc w:val="both"/>
      </w:pPr>
      <w:r>
        <w:rPr>
          <w:rFonts w:ascii="Times New Roman" w:hAnsi="Times New Roman"/>
          <w:i/>
          <w:sz w:val="26"/>
        </w:rPr>
        <w:t>Theo đề nghị của Giám đốc Sở Nội vụ tại Tờ trình số .../TTr-SNV ngày ... tháng ... năm 2026.</w:t>
      </w:r>
    </w:p>
    <w:p>
      <w:pPr>
        <w:spacing w:before="120" w:after="120"/>
        <w:jc w:val="center"/>
      </w:pPr>
      <w:r>
        <w:rPr>
          <w:rFonts w:ascii="Times New Roman" w:hAnsi="Times New Roman"/>
          <w:b/>
          <w:sz w:val="27"/>
        </w:rPr>
        <w:t>QUYẾT ĐỊNH:</w:t>
      </w:r>
    </w:p>
    <w:p>
      <w:pPr>
        <w:spacing w:before="0" w:after="80" w:line="324" w:lineRule="auto"/>
        <w:ind w:firstLine="720"/>
        <w:jc w:val="both"/>
      </w:pPr>
      <w:r>
        <w:rPr>
          <w:rFonts w:ascii="Times New Roman" w:hAnsi="Times New Roman"/>
          <w:b/>
          <w:sz w:val="27"/>
        </w:rPr>
        <w:t xml:space="preserve">Điều 1. </w:t>
      </w:r>
      <w:r>
        <w:rPr>
          <w:rFonts w:ascii="Times New Roman" w:hAnsi="Times New Roman"/>
          <w:sz w:val="27"/>
        </w:rPr>
        <w:t>Ban hành kèm theo Quyết định này Quy chế văn thư, lưu trữ điện tử của các cơ quan hành chính nhà nước trên địa bàn tỉnh.</w:t>
      </w:r>
    </w:p>
    <w:p>
      <w:pPr>
        <w:spacing w:before="0" w:after="80" w:line="324" w:lineRule="auto"/>
        <w:ind w:firstLine="720"/>
        <w:jc w:val="both"/>
      </w:pPr>
      <w:r>
        <w:rPr>
          <w:rFonts w:ascii="Times New Roman" w:hAnsi="Times New Roman"/>
          <w:b/>
          <w:sz w:val="27"/>
        </w:rPr>
        <w:t xml:space="preserve">Điều 2. </w:t>
      </w:r>
      <w:r>
        <w:rPr>
          <w:rFonts w:ascii="Times New Roman" w:hAnsi="Times New Roman"/>
          <w:sz w:val="27"/>
        </w:rPr>
        <w:t>Quyết định này có hiệu lực thi hành kể từ ngày ký ban hành.</w:t>
      </w:r>
    </w:p>
    <w:p>
      <w:pPr>
        <w:spacing w:before="0" w:after="80" w:line="324" w:lineRule="auto"/>
        <w:ind w:firstLine="720"/>
        <w:jc w:val="both"/>
      </w:pPr>
      <w:r>
        <w:rPr>
          <w:rFonts w:ascii="Times New Roman" w:hAnsi="Times New Roman"/>
          <w:b/>
          <w:sz w:val="27"/>
        </w:rPr>
        <w:t xml:space="preserve">Điều 3. </w:t>
      </w:r>
      <w:r>
        <w:rPr>
          <w:rFonts w:ascii="Times New Roman" w:hAnsi="Times New Roman"/>
          <w:sz w:val="27"/>
        </w:rPr>
        <w:t>Chánh Văn phòng Ủy ban nhân dân tỉnh, Giám đốc Sở Nội vụ, Thủ trưởng các Sở, ban, ngành, Chủ tịch Ủy ban nhân dân các xã, phường, đặc khu và các cơ quan, đơn vị có liên quan chịu trách nhiệm thi hành Quyết định này./.</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252"/>
        <w:gridCol w:w="5102"/>
      </w:tblGrid>
      <w:tr>
        <w:tc>
          <w:tcPr>
            <w:tcW w:type="dxa" w:w="4252"/>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64" w:lineRule="auto"/>
              <w:ind w:left="113"/>
            </w:pPr>
            <w:r>
              <w:rPr>
                <w:rFonts w:ascii="Times New Roman" w:hAnsi="Times New Roman"/>
                <w:sz w:val="22"/>
              </w:rPr>
              <w:t>- Như Điều 3;</w:t>
            </w:r>
          </w:p>
          <w:p>
            <w:pPr>
              <w:spacing w:before="0" w:after="20" w:line="264" w:lineRule="auto"/>
              <w:ind w:left="113"/>
            </w:pPr>
            <w:r>
              <w:rPr>
                <w:rFonts w:ascii="Times New Roman" w:hAnsi="Times New Roman"/>
                <w:sz w:val="22"/>
              </w:rPr>
              <w:t>- Thường trực Tỉnh ủy (để b/c);</w:t>
            </w:r>
          </w:p>
          <w:p>
            <w:pPr>
              <w:spacing w:before="0" w:after="20" w:line="264" w:lineRule="auto"/>
              <w:ind w:left="113"/>
            </w:pPr>
            <w:r>
              <w:rPr>
                <w:rFonts w:ascii="Times New Roman" w:hAnsi="Times New Roman"/>
                <w:sz w:val="22"/>
              </w:rPr>
              <w:t>- Thường trực HĐND tỉnh (để b/c);</w:t>
            </w:r>
          </w:p>
          <w:p>
            <w:pPr>
              <w:spacing w:before="0" w:after="20" w:line="264" w:lineRule="auto"/>
              <w:ind w:left="113"/>
            </w:pPr>
            <w:r>
              <w:rPr>
                <w:rFonts w:ascii="Times New Roman" w:hAnsi="Times New Roman"/>
                <w:sz w:val="22"/>
              </w:rPr>
              <w:t>- Cổng TTĐT tỉnh;</w:t>
            </w:r>
          </w:p>
          <w:p>
            <w:pPr>
              <w:spacing w:before="0" w:after="20" w:line="264" w:lineRule="auto"/>
              <w:ind w:left="113"/>
            </w:pPr>
            <w:r>
              <w:rPr>
                <w:rFonts w:ascii="Times New Roman" w:hAnsi="Times New Roman"/>
                <w:sz w:val="22"/>
              </w:rPr>
              <w:t>- Lưu: VT, TH, NC.</w:t>
            </w:r>
          </w:p>
        </w:tc>
        <w:tc>
          <w:tcPr>
            <w:tcW w:type="dxa" w:w="5102"/>
            <w:tcMar>
              <w:top w:w="0" w:type="dxa"/>
              <w:bottom w:w="0" w:type="dxa"/>
              <w:left w:w="113" w:type="dxa"/>
              <w:right w:w="0" w:type="dxa"/>
            </w:tcMar>
          </w:tcPr>
          <w:p>
            <w:pPr>
              <w:spacing w:before="0" w:after="20"/>
              <w:jc w:val="center"/>
            </w:pPr>
            <w:r>
              <w:rPr>
                <w:rFonts w:ascii="Times New Roman" w:hAnsi="Times New Roman"/>
                <w:b/>
                <w:sz w:val="27"/>
              </w:rPr>
              <w:t>TM. ỦY BAN NHÂN DÂN</w:t>
            </w:r>
          </w:p>
          <w:p>
            <w:pPr>
              <w:spacing w:before="0" w:after="20"/>
              <w:jc w:val="center"/>
            </w:pPr>
            <w:r>
              <w:rPr>
                <w:rFonts w:ascii="Times New Roman" w:hAnsi="Times New Roman"/>
                <w:b/>
                <w:sz w:val="27"/>
              </w:rPr>
              <w:t>CHỦ TỊCH</w:t>
            </w:r>
          </w:p>
          <w:p>
            <w:pPr>
              <w:spacing w:before="720" w:after="0"/>
              <w:jc w:val="center"/>
            </w:pPr>
          </w:p>
          <w:p>
            <w:pPr>
              <w:spacing w:before="0" w:after="0"/>
              <w:jc w:val="center"/>
            </w:pPr>
            <w:r>
              <w:rPr>
                <w:rFonts w:ascii="Times New Roman" w:hAnsi="Times New Roman"/>
                <w:b/>
                <w:sz w:val="27"/>
              </w:rPr>
              <w:t>Phạm Văn B</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