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SỞ...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.../TTr-...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TỜ TRÌNH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7"/>
        </w:rPr>
        <w:t>Về việc ban hành Quy chế công tác văn thư và lưu trữ điện tử</w:t>
      </w:r>
    </w:p>
    <w:p>
      <w:pPr>
        <w:spacing w:before="80" w:after="120"/>
        <w:jc w:val="center"/>
      </w:pPr>
      <w:r>
        <w:rPr>
          <w:rFonts w:ascii="Times New Roman" w:hAnsi="Times New Roman"/>
          <w:b/>
          <w:sz w:val="28"/>
        </w:rPr>
        <w:t xml:space="preserve">Kính gửi: </w:t>
      </w:r>
      <w:r>
        <w:rPr>
          <w:rFonts w:ascii="Times New Roman" w:hAnsi="Times New Roman"/>
          <w:sz w:val="28"/>
        </w:rPr>
        <w:t>Ủy ban nhân dân tỉnh...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Căn cứ Nghị định số 30/2020/NĐ-CP ngày 05 tháng 3 năm 2020 của Chính phủ về công tác văn thư;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Sở Nội vụ kính trình Ủy ban nhân dân tỉnh xem xét, ban hành Quy chế công tác văn thư và lưu trữ điện tử với các nội dung chính sau: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1. Sự cần thiết ban hành văn bản: Bảo đảm tính đồng bộ, hiện đại hóa hành chính và quản lý tài liệu điện tử.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2. Bố cục dự thảo Quy chế: Gồm 05 Chương và 32 Điều quy định chi tiết từ khâu soạn thảo, ký ban hành đến lưu trữ.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Kính trình Ủy ban nhân dân tỉnh xem xét, quyết định./.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gửi;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Chủ tịch, các PCT UBND tỉnh;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Lãnh đạo Sở Nội vụ;</w:t>
            </w:r>
          </w:p>
          <w:p>
            <w:pPr>
              <w:spacing w:before="0" w:after="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... (bản).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GIÁM ĐỐC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Nguyễn Văn C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