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76" w:lineRule="auto"/>
              <w:jc w:val="center"/>
            </w:pPr>
            <w:r>
              <w:rPr>
                <w:rFonts w:ascii="Times New Roman" w:hAnsi="Times New Roman"/>
                <w:sz w:val="26"/>
              </w:rPr>
              <w:t>CHÍNH PHỦ</w:t>
            </w:r>
          </w:p>
          <w:p>
            <w:pPr>
              <w:spacing w:before="0" w:after="0" w:line="276" w:lineRule="auto"/>
              <w:jc w:val="center"/>
            </w:pPr>
            <w:r>
              <w:rPr>
                <w:rFonts w:ascii="Times New Roman" w:hAnsi="Times New Roman"/>
                <w:b/>
                <w:sz w:val="26"/>
              </w:rPr>
              <w:t>BỘ TƯ PHÁP</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01/2026/VBHN-NĐ-BTP</w:t>
            </w:r>
          </w:p>
        </w:tc>
        <w:tc>
          <w:tcPr>
            <w:tcW w:type="dxa" w:w="5669"/>
            <w:tcMar>
              <w:top w:w="0" w:type="dxa"/>
              <w:bottom w:w="0" w:type="dxa"/>
              <w:left w:w="0" w:type="dxa"/>
              <w:right w:w="0" w:type="dxa"/>
            </w:tcMar>
          </w:tcPr>
          <w:p>
            <w:pPr>
              <w:spacing w:before="0" w:after="0"/>
              <w:jc w:val="center"/>
            </w:pPr>
            <w:r>
              <w:rPr>
                <w:rFonts w:ascii="Times New Roman" w:hAnsi="Times New Roman"/>
                <w:b/>
                <w:sz w:val="25"/>
              </w:rPr>
              <w:t>CỘNG HÒA XÃ HỘI CHỦ NGHĨA VIỆT NAM</w:t>
            </w:r>
          </w:p>
          <w:p>
            <w:pPr>
              <w:spacing w:before="0" w:after="40"/>
              <w:jc w:val="center"/>
            </w:pPr>
            <w:r>
              <w:rPr>
                <w:rFonts w:ascii="Times New Roman" w:hAnsi="Times New Roman"/>
                <w:b/>
                <w:sz w:val="27"/>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8"/>
              </w:rPr>
              <w:t>Hà Nội, ngày ... tháng ... năm 20...</w:t>
            </w:r>
          </w:p>
        </w:tc>
      </w:tr>
    </w:tbl>
    <w:p>
      <w:pPr>
        <w:spacing w:before="0" w:after="120"/>
      </w:pPr>
    </w:p>
    <w:p>
      <w:pPr>
        <w:spacing w:before="240" w:after="80"/>
        <w:jc w:val="center"/>
      </w:pPr>
      <w:r>
        <w:rPr>
          <w:rFonts w:ascii="Times New Roman" w:hAnsi="Times New Roman"/>
          <w:b/>
          <w:sz w:val="28"/>
        </w:rPr>
        <w:t>NGHỊ ĐỊNH</w:t>
      </w:r>
    </w:p>
    <w:p>
      <w:pPr>
        <w:spacing w:before="0" w:after="160"/>
        <w:jc w:val="center"/>
      </w:pPr>
      <w:r>
        <w:rPr>
          <w:rFonts w:ascii="Times New Roman" w:hAnsi="Times New Roman"/>
          <w:b/>
          <w:sz w:val="27"/>
        </w:rPr>
        <w:t>Quy định chi tiết và hướng dẫn thi hành một số điều của Luật Ban hành văn bản quy phạm pháp luật</w:t>
      </w:r>
    </w:p>
    <w:p>
      <w:pPr>
        <w:spacing w:before="80" w:after="80" w:line="324" w:lineRule="auto"/>
        <w:ind w:firstLine="720"/>
        <w:jc w:val="both"/>
      </w:pPr>
      <w:r>
        <w:rPr>
          <w:rFonts w:ascii="Times New Roman" w:hAnsi="Times New Roman"/>
          <w:i/>
          <w:sz w:val="26"/>
        </w:rPr>
        <w:t>Nghị định số 34/2016/NĐ-CP ngày 14 tháng 5 năm 2016 của Chính phủ quy định chi tiết một số điều và biện pháp thi hành Luật Ban hành văn bản quy phạm pháp luật, có hiệu lực kể từ ngày 01 tháng 7 năm 2016, được sửa đổi, bổ sung bởi:</w:t>
      </w:r>
    </w:p>
    <w:p>
      <w:pPr>
        <w:spacing w:before="0" w:after="60" w:line="324" w:lineRule="auto"/>
        <w:ind w:firstLine="720"/>
        <w:jc w:val="both"/>
      </w:pPr>
      <w:r>
        <w:rPr>
          <w:rFonts w:ascii="Times New Roman" w:hAnsi="Times New Roman"/>
          <w:i/>
          <w:sz w:val="26"/>
        </w:rPr>
        <w:t>1. Nghị định số 154/2020/NĐ-CP ngày 31 tháng 12 năm 2020 của Chính phủ sửa đổi, bổ sung một số điều của Nghị định số 34/2016/NĐ-CP, có hiệu lực kể từ ngày 01 tháng 01 năm 2021;</w:t>
      </w:r>
    </w:p>
    <w:p>
      <w:pPr>
        <w:spacing w:before="0" w:after="60" w:line="324" w:lineRule="auto"/>
        <w:ind w:firstLine="720"/>
        <w:jc w:val="both"/>
      </w:pPr>
      <w:r>
        <w:rPr>
          <w:rFonts w:ascii="Times New Roman" w:hAnsi="Times New Roman"/>
          <w:i/>
          <w:sz w:val="26"/>
        </w:rPr>
        <w:t>2. Nghị định số 59/2024/NĐ-CP ngày 25 tháng 5 năm 2024 của Chính phủ sửa đổi, bổ sung một số điều của Nghị định số 34/2016/NĐ-CP, có hiệu lực kể từ ngày 01 tháng 6 năm 2024.</w:t>
      </w:r>
    </w:p>
    <w:p>
      <w:pPr>
        <w:spacing w:before="200" w:after="120"/>
        <w:jc w:val="center"/>
      </w:pPr>
      <w:r>
        <w:rPr>
          <w:rFonts w:ascii="Times New Roman" w:hAnsi="Times New Roman"/>
          <w:b/>
          <w:sz w:val="27"/>
        </w:rPr>
        <w:t>Chương I</w:t>
        <w:br/>
        <w:t>NHỮNG QUY ĐỊNH CHUNG</w:t>
      </w:r>
    </w:p>
    <w:p>
      <w:pPr>
        <w:spacing w:before="40" w:after="80" w:line="324" w:lineRule="auto"/>
        <w:ind w:firstLine="720"/>
        <w:jc w:val="both"/>
      </w:pPr>
      <w:r>
        <w:rPr>
          <w:rFonts w:ascii="Times New Roman" w:hAnsi="Times New Roman"/>
          <w:b/>
          <w:sz w:val="27"/>
        </w:rPr>
        <w:t>Điều 1. Phạm vi điều chỉnh [1]</w:t>
        <w:br/>
      </w:r>
      <w:r>
        <w:rPr>
          <w:rFonts w:ascii="Times New Roman" w:hAnsi="Times New Roman"/>
          <w:sz w:val="27"/>
        </w:rPr>
        <w:t>Nghị định này quy định chi tiết về việc xây dựng, ban hành và kiểm tra, xử lý, rà soát, hệ thống hóa và hợp nhất văn bản quy phạm pháp luật theo quy định của Luật Ban hành văn bản quy phạm pháp luật và Nghị định số 250/2026/NĐ-CP.</w:t>
      </w:r>
    </w:p>
    <w:p>
      <w:pPr>
        <w:spacing w:before="320" w:after="80"/>
        <w:jc w:val="left"/>
      </w:pPr>
      <w:r>
        <w:rPr>
          <w:rFonts w:ascii="Times New Roman" w:hAnsi="Times New Roman"/>
          <w:i/>
          <w:sz w:val="22"/>
        </w:rPr>
        <w:t>_____________________</w:t>
        <w:br/>
        <w:t>[1] Điều này được sửa đổi, bổ sung theo quy định tại khoản 1 Điều 1 của Nghị định số 154/2020/NĐ-CP, có hiệu lực kể từ ngày 01 tháng 01 năm 2021.</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252"/>
        <w:gridCol w:w="5102"/>
      </w:tblGrid>
      <w:tr>
        <w:tc>
          <w:tcPr>
            <w:tcW w:type="dxa" w:w="4252"/>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64" w:lineRule="auto"/>
              <w:ind w:left="113"/>
            </w:pPr>
            <w:r>
              <w:rPr>
                <w:rFonts w:ascii="Times New Roman" w:hAnsi="Times New Roman"/>
                <w:sz w:val="22"/>
              </w:rPr>
              <w:t>- Văn phòng Chính phủ (để đăng Công báo);</w:t>
            </w:r>
          </w:p>
          <w:p>
            <w:pPr>
              <w:spacing w:before="0" w:after="20" w:line="264" w:lineRule="auto"/>
              <w:ind w:left="113"/>
            </w:pPr>
            <w:r>
              <w:rPr>
                <w:rFonts w:ascii="Times New Roman" w:hAnsi="Times New Roman"/>
                <w:sz w:val="22"/>
              </w:rPr>
              <w:t>- Cục Kiểm tra VBQPPL (để theo dõi);</w:t>
            </w:r>
          </w:p>
          <w:p>
            <w:pPr>
              <w:spacing w:before="0" w:after="20" w:line="264" w:lineRule="auto"/>
              <w:ind w:left="113"/>
            </w:pPr>
            <w:r>
              <w:rPr>
                <w:rFonts w:ascii="Times New Roman" w:hAnsi="Times New Roman"/>
                <w:sz w:val="22"/>
              </w:rPr>
              <w:t>- Cổng TTĐT Bộ Tư pháp;</w:t>
            </w:r>
          </w:p>
          <w:p>
            <w:pPr>
              <w:spacing w:before="0" w:after="20" w:line="264" w:lineRule="auto"/>
              <w:ind w:left="113"/>
            </w:pPr>
            <w:r>
              <w:rPr>
                <w:rFonts w:ascii="Times New Roman" w:hAnsi="Times New Roman"/>
                <w:sz w:val="22"/>
              </w:rPr>
              <w:t>- Lưu: VT, Vấn đề pháp lý.</w:t>
            </w:r>
          </w:p>
        </w:tc>
        <w:tc>
          <w:tcPr>
            <w:tcW w:type="dxa" w:w="5102"/>
            <w:tcMar>
              <w:top w:w="0" w:type="dxa"/>
              <w:bottom w:w="0" w:type="dxa"/>
              <w:left w:w="113" w:type="dxa"/>
              <w:right w:w="0" w:type="dxa"/>
            </w:tcMar>
          </w:tcPr>
          <w:p>
            <w:pPr>
              <w:spacing w:before="0" w:after="20"/>
              <w:jc w:val="center"/>
            </w:pPr>
            <w:r>
              <w:rPr>
                <w:rFonts w:ascii="Times New Roman" w:hAnsi="Times New Roman"/>
                <w:b/>
                <w:sz w:val="27"/>
              </w:rPr>
              <w:t>XÁC THỰC VĂN BẢN HỢP NHẤT</w:t>
            </w:r>
          </w:p>
          <w:p>
            <w:pPr>
              <w:spacing w:before="0" w:after="20"/>
              <w:jc w:val="center"/>
            </w:pPr>
            <w:r>
              <w:rPr>
                <w:rFonts w:ascii="Times New Roman" w:hAnsi="Times New Roman"/>
                <w:b/>
                <w:sz w:val="27"/>
              </w:rPr>
              <w:t>BỘ TRƯỞNG</w:t>
            </w:r>
          </w:p>
          <w:p>
            <w:pPr>
              <w:spacing w:before="720" w:after="0"/>
              <w:jc w:val="center"/>
            </w:pPr>
          </w:p>
          <w:p>
            <w:pPr>
              <w:spacing w:before="0" w:after="0"/>
              <w:jc w:val="center"/>
            </w:pPr>
            <w:r>
              <w:rPr>
                <w:rFonts w:ascii="Times New Roman" w:hAnsi="Times New Roman"/>
                <w:b/>
                <w:sz w:val="27"/>
              </w:rPr>
              <w:t>Nguyễn Văn A</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