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40" w:lineRule="auto"/>
              <w:jc w:val="center"/>
            </w:pPr>
            <w:r>
              <w:rPr>
                <w:rFonts w:ascii="Times New Roman" w:hAnsi="Times New Roman"/>
                <w:b/>
                <w:sz w:val="26"/>
              </w:rPr>
              <w:t>BỘ QUỐC PHÒNG</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.../2023/QĐ-BQP</w:t>
            </w:r>
          </w:p>
        </w:tc>
        <w:tc>
          <w:tcPr>
            <w:tcW w:type="dxa" w:w="5669"/>
            <w:tcMar>
              <w:top w:w="0" w:type="dxa"/>
              <w:bottom w:w="0" w:type="dxa"/>
              <w:left w:w="0" w:type="dxa"/>
              <w:right w:w="0" w:type="dxa"/>
            </w:tcMar>
          </w:tcPr>
          <w:p>
            <w:pPr>
              <w:spacing w:before="0" w:after="0" w:line="240" w:lineRule="auto"/>
              <w:jc w:val="center"/>
            </w:pPr>
            <w:r>
              <w:rPr>
                <w:rFonts w:ascii="Times New Roman" w:hAnsi="Times New Roman"/>
                <w:b/>
                <w:sz w:val="26"/>
              </w:rPr>
              <w:t>CỘNG HÒA XÃ HỘI CHỦ NGHĨA VIỆT NAM</w:t>
            </w:r>
          </w:p>
          <w:p>
            <w:pPr>
              <w:spacing w:before="0" w:after="40" w:line="240" w:lineRule="auto"/>
              <w:jc w:val="center"/>
            </w:pPr>
            <w:r>
              <w:rPr>
                <w:rFonts w:ascii="Times New Roman" w:hAnsi="Times New Roman"/>
                <w:b/>
                <w:sz w:val="26"/>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6"/>
              </w:rPr>
              <w:t>Hà Nội, ngày ... tháng ... năm 20...</w:t>
            </w:r>
          </w:p>
        </w:tc>
      </w:tr>
    </w:tbl>
    <w:p>
      <w:pPr>
        <w:spacing w:before="0" w:after="80"/>
      </w:pPr>
    </w:p>
    <w:p>
      <w:pPr>
        <w:spacing w:before="120" w:after="40"/>
        <w:jc w:val="center"/>
      </w:pPr>
      <w:r>
        <w:rPr>
          <w:rFonts w:ascii="Times New Roman" w:hAnsi="Times New Roman"/>
          <w:b/>
          <w:sz w:val="28"/>
        </w:rPr>
        <w:t>QUYẾT ĐỊNH</w:t>
      </w:r>
    </w:p>
    <w:p>
      <w:pPr>
        <w:spacing w:before="0" w:after="40"/>
        <w:jc w:val="center"/>
      </w:pPr>
      <w:r>
        <w:rPr>
          <w:rFonts w:ascii="Times New Roman" w:hAnsi="Times New Roman"/>
          <w:b/>
          <w:sz w:val="28"/>
        </w:rPr>
        <w:t>Quy định chức năng, nhiệm vụ, quyền hạn và cơ cấu tổ chức của...</w:t>
      </w:r>
    </w:p>
    <w:p>
      <w:pPr>
        <w:spacing w:before="0" w:after="120"/>
        <w:jc w:val="center"/>
      </w:pPr>
      <w:r>
        <w:rPr>
          <w:rFonts w:ascii="Times New Roman" w:hAnsi="Times New Roman"/>
          <w:b/>
          <w:sz w:val="22"/>
        </w:rPr>
        <w:t>————————————</w:t>
      </w:r>
    </w:p>
    <w:p>
      <w:pPr>
        <w:spacing w:before="40" w:after="120"/>
        <w:jc w:val="center"/>
      </w:pPr>
      <w:r>
        <w:rPr>
          <w:rFonts w:ascii="Times New Roman" w:hAnsi="Times New Roman"/>
          <w:b/>
          <w:sz w:val="28"/>
        </w:rPr>
        <w:t>BỘ TRƯỞNG BỘ QUỐC PHÒNG</w:t>
      </w:r>
    </w:p>
    <w:p>
      <w:pPr>
        <w:spacing w:before="0" w:after="60"/>
        <w:ind w:firstLine="567"/>
        <w:jc w:val="both"/>
      </w:pPr>
      <w:r>
        <w:rPr>
          <w:rFonts w:ascii="Times New Roman" w:hAnsi="Times New Roman"/>
          <w:i/>
          <w:sz w:val="28"/>
        </w:rPr>
        <w:t>Căn cứ Luật Ban hành văn bản quy phạm pháp luật ngày 22 tháng 6 năm 2015; Luật sửa đổi, bổ sung một số điều của Luật Ban hành văn bản quy phạm pháp luật ngày 18 tháng 6 năm 2020;</w:t>
      </w:r>
    </w:p>
    <w:p>
      <w:pPr>
        <w:spacing w:before="0" w:after="60"/>
        <w:ind w:firstLine="567"/>
        <w:jc w:val="both"/>
      </w:pPr>
      <w:r>
        <w:rPr>
          <w:rFonts w:ascii="Times New Roman" w:hAnsi="Times New Roman"/>
          <w:i/>
          <w:sz w:val="28"/>
        </w:rPr>
        <w:t>Căn cứ Luật Quốc phòng ngày 08 tháng 6 năm 2018;</w:t>
      </w:r>
    </w:p>
    <w:p>
      <w:pPr>
        <w:spacing w:before="0" w:after="60"/>
        <w:ind w:firstLine="567"/>
        <w:jc w:val="both"/>
      </w:pPr>
      <w:r>
        <w:rPr>
          <w:rFonts w:ascii="Times New Roman" w:hAnsi="Times New Roman"/>
          <w:i/>
          <w:sz w:val="28"/>
        </w:rPr>
        <w:t>Căn cứ Nghị định số 01/2022/NĐ-CP ngày 30 tháng 11 năm 2022 của Chính phủ quy định chức năng, nhiệm vụ, quyền hạn và cơ cấu tổ chức của Bộ Quốc phòng;</w:t>
      </w:r>
    </w:p>
    <w:p>
      <w:pPr>
        <w:spacing w:before="0" w:after="60"/>
        <w:ind w:firstLine="567"/>
        <w:jc w:val="both"/>
      </w:pPr>
      <w:r>
        <w:rPr>
          <w:rFonts w:ascii="Times New Roman" w:hAnsi="Times New Roman"/>
          <w:i/>
          <w:sz w:val="28"/>
        </w:rPr>
        <w:t>Theo đề nghị của Tổng Tham mưu trưởng.</w:t>
      </w:r>
    </w:p>
    <w:p>
      <w:pPr>
        <w:spacing w:before="80" w:after="120"/>
        <w:jc w:val="center"/>
      </w:pPr>
      <w:r>
        <w:rPr>
          <w:rFonts w:ascii="Times New Roman" w:hAnsi="Times New Roman"/>
          <w:b/>
          <w:sz w:val="28"/>
        </w:rPr>
        <w:t>QUYẾT ĐỊNH:</w:t>
      </w:r>
    </w:p>
    <w:p>
      <w:pPr>
        <w:spacing w:before="0" w:after="120" w:line="276" w:lineRule="auto"/>
        <w:ind w:firstLine="567"/>
        <w:jc w:val="both"/>
      </w:pPr>
      <w:r>
        <w:rPr>
          <w:rFonts w:ascii="Times New Roman" w:hAnsi="Times New Roman"/>
          <w:sz w:val="28"/>
        </w:rPr>
        <w:t>Điều 1. Quy định vị trí, chức năng của đơn vị trực thuộc Bộ Quốc phòng.</w:t>
      </w:r>
    </w:p>
    <w:p>
      <w:pPr>
        <w:spacing w:before="0" w:after="120" w:line="276" w:lineRule="auto"/>
        <w:ind w:firstLine="567"/>
        <w:jc w:val="both"/>
      </w:pPr>
      <w:r>
        <w:rPr>
          <w:rFonts w:ascii="Times New Roman" w:hAnsi="Times New Roman"/>
          <w:sz w:val="28"/>
        </w:rPr>
        <w:t>Điều 2. Quy định nhiệm vụ, quyền hạn và cơ cấu tổ chức.</w:t>
      </w:r>
    </w:p>
    <w:p>
      <w:pPr>
        <w:spacing w:before="0" w:after="120" w:line="276" w:lineRule="auto"/>
        <w:ind w:firstLine="567"/>
        <w:jc w:val="both"/>
      </w:pPr>
      <w:r>
        <w:rPr>
          <w:rFonts w:ascii="Times New Roman" w:hAnsi="Times New Roman"/>
          <w:sz w:val="28"/>
        </w:rPr>
        <w:t>Điều 3. Quyết định này có hiệu lực thi hành kể từ ngày ký. Tổng Tham mưu trưởng, Chủ nhiệm Tổng cục Chính trị, Thủ trưởng các cơ quan, đơn vị liên quan chịu trách nhiệm thi hành Quyết định này./.</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969"/>
        <w:gridCol w:w="5386"/>
      </w:tblGrid>
      <w:tr>
        <w:tc>
          <w:tcPr>
            <w:tcW w:type="dxa" w:w="3969"/>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40" w:lineRule="auto"/>
              <w:ind w:left="113"/>
            </w:pPr>
            <w:r>
              <w:rPr>
                <w:rFonts w:ascii="Times New Roman" w:hAnsi="Times New Roman"/>
                <w:sz w:val="22"/>
              </w:rPr>
              <w:t>- Thủ tướng Chính phủ</w:t>
            </w:r>
          </w:p>
          <w:p>
            <w:pPr>
              <w:spacing w:before="0" w:after="20" w:line="240" w:lineRule="auto"/>
              <w:ind w:left="113"/>
            </w:pPr>
            <w:r>
              <w:rPr>
                <w:rFonts w:ascii="Times New Roman" w:hAnsi="Times New Roman"/>
                <w:sz w:val="22"/>
              </w:rPr>
              <w:t>- Văn phòng Chính phủ</w:t>
            </w:r>
          </w:p>
          <w:p>
            <w:pPr>
              <w:spacing w:before="0" w:after="20" w:line="240" w:lineRule="auto"/>
              <w:ind w:left="113"/>
            </w:pPr>
            <w:r>
              <w:rPr>
                <w:rFonts w:ascii="Times New Roman" w:hAnsi="Times New Roman"/>
                <w:sz w:val="22"/>
              </w:rPr>
              <w:t>- Bộ Tư pháp</w:t>
            </w:r>
          </w:p>
          <w:p>
            <w:pPr>
              <w:spacing w:before="0" w:after="20" w:line="240" w:lineRule="auto"/>
              <w:ind w:left="113"/>
            </w:pPr>
            <w:r>
              <w:rPr>
                <w:rFonts w:ascii="Times New Roman" w:hAnsi="Times New Roman"/>
                <w:sz w:val="22"/>
              </w:rPr>
              <w:t>- Các cơ quan, đơn vị toàn quân</w:t>
            </w:r>
          </w:p>
          <w:p>
            <w:pPr>
              <w:spacing w:before="0" w:after="20" w:line="240" w:lineRule="auto"/>
              <w:ind w:left="113"/>
            </w:pPr>
            <w:r>
              <w:rPr>
                <w:rFonts w:ascii="Times New Roman" w:hAnsi="Times New Roman"/>
                <w:sz w:val="22"/>
              </w:rPr>
              <w:t>- Lưu: VT, PC, T.50.</w:t>
            </w:r>
          </w:p>
        </w:tc>
        <w:tc>
          <w:tcPr>
            <w:tcW w:type="dxa" w:w="5386"/>
            <w:tcMar>
              <w:top w:w="0" w:type="dxa"/>
              <w:bottom w:w="0" w:type="dxa"/>
              <w:left w:w="113" w:type="dxa"/>
              <w:right w:w="0" w:type="dxa"/>
            </w:tcMar>
          </w:tcPr>
          <w:p>
            <w:pPr>
              <w:spacing w:before="0" w:after="80" w:line="240" w:lineRule="auto"/>
              <w:jc w:val="center"/>
            </w:pPr>
            <w:r>
              <w:rPr>
                <w:rFonts w:ascii="Times New Roman" w:hAnsi="Times New Roman"/>
                <w:b/>
                <w:sz w:val="28"/>
              </w:rPr>
              <w:t>BỘ TRƯỞNG</w:t>
            </w:r>
          </w:p>
          <w:p>
            <w:pPr>
              <w:spacing w:before="720" w:after="0"/>
            </w:pPr>
          </w:p>
          <w:p>
            <w:pPr>
              <w:spacing w:before="0" w:after="0"/>
              <w:jc w:val="center"/>
            </w:pPr>
            <w:r>
              <w:rPr>
                <w:rFonts w:ascii="Times New Roman" w:hAnsi="Times New Roman"/>
                <w:b/>
                <w:sz w:val="28"/>
              </w:rPr>
              <w:t>Đại tướng PHAN VĂN GIANG</w:t>
            </w:r>
          </w:p>
        </w:tc>
      </w:tr>
    </w:tbl>
    <w:sectPr w:rsidR="00FC693F" w:rsidRPr="0006063C" w:rsidSect="00034616">
      <w:headerReference w:type="default" r:id="rId9"/>
      <w:pgSz w:w="11906" w:h="16838"/>
      <w:pgMar w:top="1134" w:right="850" w:bottom="1134" w:left="1701" w:header="567"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