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240"/>
        <w:jc w:val="right"/>
      </w:pPr>
      <w:r>
        <w:rPr>
          <w:rFonts w:ascii="Times New Roman" w:hAnsi="Times New Roman"/>
          <w:i/>
          <w:sz w:val="28"/>
        </w:rPr>
        <w:t>(Ban hành kèm theo Quyết định số .../2023/QĐ-BQP ngày ... tháng ... năm 2023 của Bộ trưởng Bộ Quốc phòng)</w:t>
      </w:r>
    </w:p>
    <w:p>
      <w:pPr>
        <w:spacing w:before="120" w:after="40"/>
        <w:jc w:val="center"/>
      </w:pPr>
      <w:r>
        <w:rPr>
          <w:rFonts w:ascii="Times New Roman" w:hAnsi="Times New Roman"/>
          <w:b/>
          <w:sz w:val="28"/>
        </w:rPr>
        <w:t>QUY CHẾ</w:t>
      </w:r>
    </w:p>
    <w:p>
      <w:pPr>
        <w:spacing w:before="0" w:after="120"/>
        <w:jc w:val="center"/>
      </w:pPr>
      <w:r>
        <w:rPr>
          <w:rFonts w:ascii="Times New Roman" w:hAnsi="Times New Roman"/>
          <w:b/>
          <w:sz w:val="28"/>
        </w:rPr>
        <w:t>CÔNG TÁC VĂN THƯ TRONG BỘ QUỐC PHÒNG</w:t>
      </w:r>
    </w:p>
    <w:p>
      <w:pPr>
        <w:spacing w:before="160" w:after="40"/>
        <w:jc w:val="center"/>
      </w:pPr>
      <w:r>
        <w:rPr>
          <w:rFonts w:ascii="Times New Roman" w:hAnsi="Times New Roman"/>
          <w:b/>
          <w:sz w:val="28"/>
        </w:rPr>
        <w:t>Chương I</w:t>
        <w:br/>
        <w:t>QUY ĐỊNH CHUNG</w:t>
      </w:r>
    </w:p>
    <w:p>
      <w:pPr>
        <w:spacing w:before="0" w:after="120" w:line="276" w:lineRule="auto"/>
        <w:ind w:firstLine="567"/>
        <w:jc w:val="both"/>
      </w:pPr>
      <w:r>
        <w:rPr>
          <w:rFonts w:ascii="Times New Roman" w:hAnsi="Times New Roman"/>
          <w:sz w:val="28"/>
        </w:rPr>
        <w:t>Điều 1. Phạm vi điều chỉnh</w:t>
        <w:br/>
        <w:t>Quy chế này quy định về công tác văn thư và quản lý nhà nước về công tác văn thư trong Bộ Quốc phòng.</w:t>
      </w:r>
    </w:p>
    <w:p>
      <w:pPr>
        <w:spacing w:before="0" w:after="120" w:line="276" w:lineRule="auto"/>
        <w:ind w:firstLine="567"/>
        <w:jc w:val="both"/>
      </w:pPr>
      <w:r>
        <w:rPr>
          <w:rFonts w:ascii="Times New Roman" w:hAnsi="Times New Roman"/>
          <w:sz w:val="28"/>
        </w:rPr>
        <w:t>Điều 2. Đối tượng áp dụng</w:t>
        <w:br/>
        <w:t>Quy chế này áp dụng đối với các cơ quan, đơn vị, doanh nghiệp quân đội và cá nhân liên quan trong Bộ Quốc phòng./.</w:t>
      </w:r>
    </w:p>
    <w:sectPr w:rsidR="00FC693F" w:rsidRPr="0006063C" w:rsidSect="00034616">
      <w:headerReference w:type="default" r:id="rId9"/>
      <w:pgSz w:w="11906" w:h="16838"/>
      <w:pgMar w:top="1134" w:right="850" w:bottom="1134" w:left="1701" w:header="567" w:footer="567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before="0" w:after="0"/>
      <w:jc w:val="center"/>
    </w:pPr>
    <w:r>
      <w:rPr>
        <w:rFonts w:ascii="Times New Roman" w:hAnsi="Times New Roman"/>
        <w:sz w:val="28"/>
      </w:rPr>
    </w:r>
    <w:fldSimple w:instr="PAGE"/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