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val="0"/>
                <w:sz w:val="26"/>
              </w:rPr>
              <w:t>BỘ QUỐC PHÒNG</w:t>
            </w:r>
          </w:p>
          <w:p>
            <w:pPr>
              <w:spacing w:before="0" w:after="0" w:line="240" w:lineRule="auto"/>
              <w:jc w:val="center"/>
            </w:pPr>
            <w:r>
              <w:rPr>
                <w:rFonts w:ascii="Times New Roman" w:hAnsi="Times New Roman"/>
                <w:b/>
                <w:sz w:val="26"/>
              </w:rPr>
              <w:t>VĂN PHÒNG BỘ</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.../VP-TH</w:t>
            </w:r>
          </w:p>
          <w:p>
            <w:pPr>
              <w:spacing w:before="80" w:after="0"/>
              <w:jc w:val="center"/>
            </w:pPr>
            <w:r>
              <w:rPr>
                <w:rFonts w:ascii="Times New Roman" w:hAnsi="Times New Roman"/>
                <w:i w:val="0"/>
                <w:sz w:val="24"/>
              </w:rPr>
              <w:t>V/v Triển khai thực hiện Thông tư số 68/2023/TT-BQP</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80" w:after="120"/>
        <w:jc w:val="left"/>
      </w:pPr>
      <w:r>
        <w:rPr>
          <w:rFonts w:ascii="Times New Roman" w:hAnsi="Times New Roman"/>
          <w:b/>
          <w:sz w:val="28"/>
        </w:rPr>
        <w:t xml:space="preserve">Kính gửi: </w:t>
      </w:r>
      <w:r>
        <w:rPr>
          <w:rFonts w:ascii="Times New Roman" w:hAnsi="Times New Roman"/>
          <w:sz w:val="28"/>
        </w:rPr>
        <w:t>Chỉ huy các cơ quan, đơn vị trong toàn quân.</w:t>
      </w:r>
    </w:p>
    <w:p>
      <w:pPr>
        <w:spacing w:before="0" w:after="120" w:line="276" w:lineRule="auto"/>
        <w:ind w:firstLine="567"/>
        <w:jc w:val="both"/>
      </w:pPr>
      <w:r>
        <w:rPr>
          <w:rFonts w:ascii="Times New Roman" w:hAnsi="Times New Roman"/>
          <w:sz w:val="28"/>
        </w:rPr>
        <w:t>Thực hiện Thông tư số 68/2023/TT-BQP ngày 25 tháng 9 năm 2023 của Bộ trưởng Bộ Quốc phòng ban hành Quy chế công tác văn thư trong Bộ Quốc phòng;</w:t>
      </w:r>
    </w:p>
    <w:p>
      <w:pPr>
        <w:spacing w:before="0" w:after="120" w:line="276" w:lineRule="auto"/>
        <w:ind w:firstLine="567"/>
        <w:jc w:val="both"/>
      </w:pPr>
      <w:r>
        <w:rPr>
          <w:rFonts w:ascii="Times New Roman" w:hAnsi="Times New Roman"/>
          <w:sz w:val="28"/>
        </w:rPr>
        <w:t>Để nâng cao hiệu quả công tác văn thư, bảo đảm tính thống nhất, chính quy và bảo mật thông tin trong toàn quân, Văn phòng Bộ Quốc phòng trân trọng đề nghị các cơ quan, đơn vị thực hiện một số nội dung sau:</w:t>
      </w:r>
    </w:p>
    <w:p>
      <w:pPr>
        <w:spacing w:before="0" w:after="120" w:line="276" w:lineRule="auto"/>
        <w:ind w:firstLine="567"/>
        <w:jc w:val="both"/>
      </w:pPr>
      <w:r>
        <w:rPr>
          <w:rFonts w:ascii="Times New Roman" w:hAnsi="Times New Roman"/>
          <w:sz w:val="28"/>
        </w:rPr>
        <w:t>1. Tổ chức quán triệt sâu rộng nội dung Thông tư số 68/2023/TT-BQP đến 100% cán bộ, chiến sĩ, nhân viên văn thư, cơ mật.</w:t>
      </w:r>
    </w:p>
    <w:p>
      <w:pPr>
        <w:spacing w:before="0" w:after="120" w:line="276" w:lineRule="auto"/>
        <w:ind w:firstLine="567"/>
        <w:jc w:val="both"/>
      </w:pPr>
      <w:r>
        <w:rPr>
          <w:rFonts w:ascii="Times New Roman" w:hAnsi="Times New Roman"/>
          <w:sz w:val="28"/>
        </w:rPr>
        <w:t>2. Chuẩn hóa toàn bộ thể thức, kỹ thuật trình bày văn bản theo đúng quy chuẩn 14pt Times New Roman, lề trang 20-20-30-15 mm, số trang căn giữa phía trên và khối chữ ký Cấp bậc + Họ và tên.</w:t>
      </w:r>
    </w:p>
    <w:p>
      <w:pPr>
        <w:spacing w:before="0" w:after="120" w:line="276" w:lineRule="auto"/>
        <w:ind w:firstLine="567"/>
        <w:jc w:val="both"/>
      </w:pPr>
      <w:r>
        <w:rPr>
          <w:rFonts w:ascii="Times New Roman" w:hAnsi="Times New Roman"/>
          <w:sz w:val="28"/>
        </w:rPr>
        <w:t>Trong quá trình thực hiện, nếu có khó khăn, vướng mắc, đề nghị các cơ quan, đơn vị kịp thời phản ánh về Văn phòng Bộ Quốc phòng để tổng hợp, báo cáo Thủ trưởng Bộ xem xét, giải quyết./.</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Như trên</w:t>
            </w:r>
          </w:p>
          <w:p>
            <w:pPr>
              <w:spacing w:before="0" w:after="20" w:line="240" w:lineRule="auto"/>
              <w:ind w:left="113"/>
            </w:pPr>
            <w:r>
              <w:rPr>
                <w:rFonts w:ascii="Times New Roman" w:hAnsi="Times New Roman"/>
                <w:sz w:val="22"/>
              </w:rPr>
              <w:t>- Thủ trưởng Bộ (để b/c)</w:t>
            </w:r>
          </w:p>
          <w:p>
            <w:pPr>
              <w:spacing w:before="0" w:after="20" w:line="240" w:lineRule="auto"/>
              <w:ind w:left="113"/>
            </w:pPr>
            <w:r>
              <w:rPr>
                <w:rFonts w:ascii="Times New Roman" w:hAnsi="Times New Roman"/>
                <w:sz w:val="22"/>
              </w:rPr>
              <w:t>- Bộ Tổng Tham mưu</w:t>
            </w:r>
          </w:p>
          <w:p>
            <w:pPr>
              <w:spacing w:before="0" w:after="20" w:line="240" w:lineRule="auto"/>
              <w:ind w:left="113"/>
            </w:pPr>
            <w:r>
              <w:rPr>
                <w:rFonts w:ascii="Times New Roman" w:hAnsi="Times New Roman"/>
                <w:sz w:val="22"/>
              </w:rPr>
              <w:t>- Tổng cục Chính trị</w:t>
            </w:r>
          </w:p>
          <w:p>
            <w:pPr>
              <w:spacing w:before="0" w:after="20" w:line="240" w:lineRule="auto"/>
              <w:ind w:left="113"/>
            </w:pPr>
            <w:r>
              <w:rPr>
                <w:rFonts w:ascii="Times New Roman" w:hAnsi="Times New Roman"/>
                <w:sz w:val="22"/>
              </w:rPr>
              <w:t>- Lưu: VT, TH, H.20.</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CHÁNH VĂN PHÒNG</w:t>
            </w:r>
          </w:p>
          <w:p>
            <w:pPr>
              <w:spacing w:before="720" w:after="0"/>
            </w:pPr>
          </w:p>
          <w:p>
            <w:pPr>
              <w:spacing w:before="0" w:after="0"/>
              <w:jc w:val="center"/>
            </w:pPr>
            <w:r>
              <w:rPr>
                <w:rFonts w:ascii="Times New Roman" w:hAnsi="Times New Roman"/>
                <w:b/>
                <w:sz w:val="28"/>
              </w:rPr>
              <w:t>Thiếu tướng NGUYỄN VIẾT TUYÊN</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