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BỘ QUỐC PHÒNG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BỘ TỔNG THAM MƯU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.../SY-TM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40"/>
        <w:jc w:val="center"/>
      </w:pPr>
      <w:r>
        <w:rPr>
          <w:rFonts w:ascii="Times New Roman" w:hAnsi="Times New Roman"/>
          <w:b/>
          <w:sz w:val="28"/>
        </w:rPr>
        <w:t>SAO Y</w:t>
      </w:r>
    </w:p>
    <w:p>
      <w:pPr>
        <w:spacing w:before="0" w:after="160"/>
        <w:jc w:val="center"/>
      </w:pPr>
      <w:r>
        <w:rPr>
          <w:rFonts w:ascii="Times New Roman" w:hAnsi="Times New Roman"/>
          <w:i/>
          <w:sz w:val="26"/>
        </w:rPr>
        <w:t>(Sao y từ bản chính / Bản sao có giá trị pháp lý như bản chính)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Bản sao văn bản kèm theo Quyết định số .../2023/QĐ-BQP ngày ... tháng ... năm 2023 của Bộ trưởng Bộ Quốc phòng.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Nơi nhận bản sao: Theo thành phần nơi nhận của văn bản chính./.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cơ quan nhận sao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SY.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TL. TỔNG THAM MƯU TRƯỞNG</w:t>
              <w:br/>
              <w:t>CHÁNH VĂN PHÒNG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Thiếu tướng HOÀNG VĂN N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